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89" w:type="dxa"/>
        <w:tblLayout w:type="fixed"/>
        <w:tblLook w:val="0000" w:firstRow="0" w:lastRow="0" w:firstColumn="0" w:lastColumn="0" w:noHBand="0" w:noVBand="0"/>
      </w:tblPr>
      <w:tblGrid>
        <w:gridCol w:w="4644"/>
        <w:gridCol w:w="4645"/>
      </w:tblGrid>
      <w:tr w:rsidR="00FF646E" w:rsidRPr="004E68ED" w14:paraId="039165F1" w14:textId="77777777" w:rsidTr="2DBADD9F">
        <w:trPr>
          <w:cantSplit/>
        </w:trPr>
        <w:tc>
          <w:tcPr>
            <w:tcW w:w="4644" w:type="dxa"/>
          </w:tcPr>
          <w:p w14:paraId="054049AA" w14:textId="77777777" w:rsidR="00FF646E" w:rsidRPr="004E68ED" w:rsidRDefault="00757977" w:rsidP="007606E6">
            <w:pPr>
              <w:rPr>
                <w:lang w:val="en-GB"/>
              </w:rPr>
            </w:pPr>
            <w:bookmarkStart w:id="0" w:name="_GoBack"/>
            <w:bookmarkEnd w:id="0"/>
            <w:r w:rsidRPr="004E68ED">
              <w:rPr>
                <w:noProof/>
                <w:sz w:val="20"/>
              </w:rPr>
              <mc:AlternateContent>
                <mc:Choice Requires="wps">
                  <w:drawing>
                    <wp:anchor distT="0" distB="0" distL="114300" distR="114300" simplePos="0" relativeHeight="251658241" behindDoc="1" locked="0" layoutInCell="0" allowOverlap="1" wp14:anchorId="3ECF1725" wp14:editId="29B7B39F">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6DF59D" w14:textId="77777777" w:rsidR="005B01B0" w:rsidRPr="002E0BC0" w:rsidRDefault="005B01B0">
                                  <w:pPr>
                                    <w:jc w:val="center"/>
                                    <w:rPr>
                                      <w:rFonts w:ascii="Arial" w:hAnsi="Arial" w:cs="Arial"/>
                                      <w:b/>
                                      <w:bCs/>
                                      <w:sz w:val="48"/>
                                      <w:lang w:val="en-GB"/>
                                    </w:rPr>
                                  </w:pPr>
                                  <w:r w:rsidRPr="002E0BC0">
                                    <w:rPr>
                                      <w:rFonts w:ascii="Arial" w:hAnsi="Arial" w:cs="Arial"/>
                                      <w:b/>
                                      <w:bCs/>
                                      <w:sz w:val="48"/>
                                      <w:lang w:val="en-GB"/>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CF1725"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14:paraId="0A6DF59D" w14:textId="77777777" w:rsidR="005B01B0" w:rsidRPr="002E0BC0" w:rsidRDefault="005B01B0">
                            <w:pPr>
                              <w:jc w:val="center"/>
                              <w:rPr>
                                <w:rFonts w:ascii="Arial" w:hAnsi="Arial" w:cs="Arial"/>
                                <w:b/>
                                <w:bCs/>
                                <w:sz w:val="48"/>
                                <w:lang w:val="en-GB"/>
                              </w:rPr>
                            </w:pPr>
                            <w:r w:rsidRPr="002E0BC0">
                              <w:rPr>
                                <w:rFonts w:ascii="Arial" w:hAnsi="Arial" w:cs="Arial"/>
                                <w:b/>
                                <w:bCs/>
                                <w:sz w:val="48"/>
                                <w:lang w:val="en-GB"/>
                              </w:rPr>
                              <w:t>EN</w:t>
                            </w:r>
                          </w:p>
                        </w:txbxContent>
                      </v:textbox>
                      <w10:wrap anchorx="page" anchory="page"/>
                    </v:shape>
                  </w:pict>
                </mc:Fallback>
              </mc:AlternateContent>
            </w:r>
            <w:r w:rsidR="00FF646E" w:rsidRPr="004E68ED">
              <w:rPr>
                <w:rFonts w:eastAsia="Arial Unicode MS"/>
                <w:noProof/>
              </w:rPr>
              <w:drawing>
                <wp:inline distT="0" distB="0" distL="0" distR="0" wp14:anchorId="077291B0" wp14:editId="514BC5E2">
                  <wp:extent cx="1800000" cy="1555851"/>
                  <wp:effectExtent l="0" t="0" r="0" b="6350"/>
                  <wp:docPr id="2" name="Picture 2" descr="C:\Users\mreg\Music\New LOGO\Logo\logo_CoR-vertical-positive-en-quadri_MR.jpg" title="CoR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eg\Music\New LOGO\Logo\logo_CoR-vertical-positive-en-quadri_M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0000" cy="1555851"/>
                          </a:xfrm>
                          <a:prstGeom prst="rect">
                            <a:avLst/>
                          </a:prstGeom>
                          <a:noFill/>
                          <a:ln>
                            <a:noFill/>
                          </a:ln>
                        </pic:spPr>
                      </pic:pic>
                    </a:graphicData>
                  </a:graphic>
                </wp:inline>
              </w:drawing>
            </w:r>
          </w:p>
        </w:tc>
        <w:tc>
          <w:tcPr>
            <w:tcW w:w="4645" w:type="dxa"/>
          </w:tcPr>
          <w:p w14:paraId="37744BEC" w14:textId="77777777" w:rsidR="00FF646E" w:rsidRPr="004E68ED" w:rsidRDefault="00FF646E" w:rsidP="007606E6">
            <w:pPr>
              <w:rPr>
                <w:lang w:val="en-GB"/>
              </w:rPr>
            </w:pPr>
          </w:p>
        </w:tc>
      </w:tr>
      <w:tr w:rsidR="00FF646E" w:rsidRPr="004E68ED" w14:paraId="3D325991" w14:textId="77777777" w:rsidTr="00FE528A">
        <w:trPr>
          <w:cantSplit/>
        </w:trPr>
        <w:tc>
          <w:tcPr>
            <w:tcW w:w="9289" w:type="dxa"/>
            <w:gridSpan w:val="2"/>
          </w:tcPr>
          <w:p w14:paraId="7C0093C8" w14:textId="621D51F6" w:rsidR="00FF646E" w:rsidRPr="004E68ED" w:rsidRDefault="00FF646E" w:rsidP="007606E6">
            <w:pPr>
              <w:jc w:val="right"/>
              <w:rPr>
                <w:b/>
                <w:sz w:val="28"/>
                <w:lang w:val="en-GB"/>
              </w:rPr>
            </w:pPr>
            <w:r w:rsidRPr="004E68ED">
              <w:rPr>
                <w:b/>
                <w:sz w:val="28"/>
                <w:lang w:val="en-GB"/>
              </w:rPr>
              <w:t>RESOL-VI/</w:t>
            </w:r>
            <w:r w:rsidR="00997089" w:rsidRPr="004E68ED">
              <w:rPr>
                <w:b/>
                <w:sz w:val="28"/>
                <w:lang w:val="en-GB"/>
              </w:rPr>
              <w:t>0</w:t>
            </w:r>
            <w:r w:rsidR="00044D0E" w:rsidRPr="004E68ED">
              <w:rPr>
                <w:b/>
                <w:sz w:val="28"/>
                <w:lang w:val="en-GB"/>
              </w:rPr>
              <w:t>38</w:t>
            </w:r>
          </w:p>
        </w:tc>
      </w:tr>
      <w:tr w:rsidR="00FF646E" w:rsidRPr="004E68ED" w14:paraId="0E9D13C2" w14:textId="77777777" w:rsidTr="00FE528A">
        <w:trPr>
          <w:cantSplit/>
        </w:trPr>
        <w:tc>
          <w:tcPr>
            <w:tcW w:w="9289" w:type="dxa"/>
            <w:gridSpan w:val="2"/>
          </w:tcPr>
          <w:p w14:paraId="35335DAA" w14:textId="77777777" w:rsidR="00FF646E" w:rsidRPr="004E68ED" w:rsidRDefault="00C401A7">
            <w:pPr>
              <w:jc w:val="center"/>
              <w:rPr>
                <w:b/>
                <w:bCs/>
                <w:sz w:val="32"/>
                <w:szCs w:val="32"/>
                <w:lang w:val="en-GB"/>
              </w:rPr>
            </w:pPr>
            <w:r w:rsidRPr="004E68ED">
              <w:rPr>
                <w:b/>
                <w:bCs/>
                <w:sz w:val="28"/>
                <w:szCs w:val="28"/>
                <w:lang w:val="en-GB"/>
              </w:rPr>
              <w:t>13</w:t>
            </w:r>
            <w:r w:rsidR="00800D1A" w:rsidRPr="004E68ED">
              <w:rPr>
                <w:b/>
                <w:bCs/>
                <w:sz w:val="28"/>
                <w:szCs w:val="28"/>
                <w:lang w:val="en-GB"/>
              </w:rPr>
              <w:t>7</w:t>
            </w:r>
            <w:r w:rsidRPr="004E68ED">
              <w:rPr>
                <w:b/>
                <w:bCs/>
                <w:sz w:val="28"/>
                <w:szCs w:val="28"/>
                <w:lang w:val="en-GB"/>
              </w:rPr>
              <w:t>th</w:t>
            </w:r>
            <w:r w:rsidR="006F19A7" w:rsidRPr="004E68ED">
              <w:rPr>
                <w:b/>
                <w:bCs/>
                <w:sz w:val="28"/>
                <w:szCs w:val="28"/>
                <w:lang w:val="en-GB"/>
              </w:rPr>
              <w:t xml:space="preserve"> </w:t>
            </w:r>
            <w:r w:rsidR="00FF646E" w:rsidRPr="004E68ED">
              <w:rPr>
                <w:b/>
                <w:bCs/>
                <w:sz w:val="28"/>
                <w:szCs w:val="28"/>
                <w:lang w:val="en-GB"/>
              </w:rPr>
              <w:t xml:space="preserve">plenary session, </w:t>
            </w:r>
            <w:r w:rsidR="00800D1A" w:rsidRPr="004E68ED">
              <w:rPr>
                <w:b/>
                <w:bCs/>
                <w:sz w:val="28"/>
                <w:szCs w:val="28"/>
                <w:lang w:val="en-GB"/>
              </w:rPr>
              <w:t>4-5 December</w:t>
            </w:r>
            <w:r w:rsidR="00FF646E" w:rsidRPr="004E68ED">
              <w:rPr>
                <w:b/>
                <w:bCs/>
                <w:sz w:val="28"/>
                <w:szCs w:val="28"/>
                <w:lang w:val="en-GB"/>
              </w:rPr>
              <w:t xml:space="preserve"> </w:t>
            </w:r>
            <w:r w:rsidR="006F19A7" w:rsidRPr="004E68ED">
              <w:rPr>
                <w:b/>
                <w:bCs/>
                <w:sz w:val="28"/>
                <w:szCs w:val="28"/>
                <w:lang w:val="en-GB"/>
              </w:rPr>
              <w:t>2019</w:t>
            </w:r>
          </w:p>
        </w:tc>
      </w:tr>
    </w:tbl>
    <w:p w14:paraId="3B0BBA84" w14:textId="17F01891" w:rsidR="00CB229A" w:rsidRPr="004E68ED" w:rsidRDefault="00CB229A">
      <w:pPr>
        <w:rPr>
          <w:lang w:val="en-GB"/>
        </w:rPr>
      </w:pPr>
    </w:p>
    <w:p w14:paraId="4BFF26E7" w14:textId="77777777" w:rsidR="008B0FAE" w:rsidRPr="004E68ED" w:rsidRDefault="008B0FAE">
      <w:pPr>
        <w:rPr>
          <w:lang w:val="en-GB"/>
        </w:rPr>
      </w:pPr>
    </w:p>
    <w:p w14:paraId="16845AAA" w14:textId="7D68C901" w:rsidR="00F179AA" w:rsidRPr="004E68ED" w:rsidRDefault="00CB229A">
      <w:pPr>
        <w:jc w:val="center"/>
        <w:rPr>
          <w:b/>
          <w:bCs/>
          <w:sz w:val="28"/>
          <w:szCs w:val="28"/>
          <w:lang w:val="en-GB"/>
        </w:rPr>
      </w:pPr>
      <w:r w:rsidRPr="004E68ED">
        <w:rPr>
          <w:b/>
          <w:bCs/>
          <w:sz w:val="28"/>
          <w:szCs w:val="28"/>
          <w:lang w:val="en-GB"/>
        </w:rPr>
        <w:t>RESOLUTION</w:t>
      </w:r>
    </w:p>
    <w:p w14:paraId="6E96F110" w14:textId="77777777" w:rsidR="00F179AA" w:rsidRPr="004E68ED" w:rsidRDefault="00F179AA">
      <w:pPr>
        <w:jc w:val="center"/>
        <w:rPr>
          <w:b/>
          <w:sz w:val="28"/>
          <w:szCs w:val="28"/>
          <w:lang w:val="en-GB"/>
        </w:rPr>
      </w:pPr>
    </w:p>
    <w:p w14:paraId="2FAAF3B1" w14:textId="77777777" w:rsidR="00CB229A" w:rsidRPr="004E68ED" w:rsidRDefault="00800D1A">
      <w:pPr>
        <w:jc w:val="center"/>
        <w:rPr>
          <w:b/>
          <w:bCs/>
          <w:lang w:val="en-GB"/>
        </w:rPr>
      </w:pPr>
      <w:r w:rsidRPr="004E68ED">
        <w:rPr>
          <w:b/>
          <w:bCs/>
          <w:sz w:val="28"/>
          <w:szCs w:val="28"/>
          <w:lang w:val="en-GB"/>
        </w:rPr>
        <w:t xml:space="preserve">The </w:t>
      </w:r>
      <w:r w:rsidR="002F2DDA" w:rsidRPr="004E68ED">
        <w:rPr>
          <w:b/>
          <w:bCs/>
          <w:sz w:val="28"/>
          <w:szCs w:val="28"/>
          <w:lang w:val="en-GB"/>
        </w:rPr>
        <w:t xml:space="preserve">Green Deal </w:t>
      </w:r>
      <w:r w:rsidRPr="004E68ED">
        <w:rPr>
          <w:b/>
          <w:bCs/>
          <w:sz w:val="28"/>
          <w:szCs w:val="28"/>
          <w:lang w:val="en-GB"/>
        </w:rPr>
        <w:t>in partnership with local and regional authorities</w:t>
      </w:r>
    </w:p>
    <w:p w14:paraId="4C5390F6" w14:textId="77777777" w:rsidR="00851548" w:rsidRPr="004E68ED" w:rsidRDefault="00851548">
      <w:pPr>
        <w:rPr>
          <w:lang w:val="en-GB"/>
        </w:rPr>
      </w:pPr>
    </w:p>
    <w:p w14:paraId="3CED0808" w14:textId="6B5176DF" w:rsidR="00F179AA" w:rsidRPr="004E68ED" w:rsidRDefault="00F179AA">
      <w:pPr>
        <w:rPr>
          <w:lang w:val="en-GB"/>
        </w:rPr>
      </w:pPr>
    </w:p>
    <w:p w14:paraId="2A973A4A" w14:textId="77777777" w:rsidR="00341ECE" w:rsidRPr="004E68ED" w:rsidRDefault="00341ECE">
      <w:pPr>
        <w:rPr>
          <w:lang w:val="en-GB"/>
        </w:rPr>
      </w:pPr>
    </w:p>
    <w:p w14:paraId="06A3E2A8" w14:textId="77777777" w:rsidR="00341ECE" w:rsidRPr="004E68ED" w:rsidRDefault="00341ECE">
      <w:pPr>
        <w:rPr>
          <w:lang w:val="en-GB"/>
        </w:rPr>
      </w:pPr>
    </w:p>
    <w:p w14:paraId="78A73F9D" w14:textId="77777777" w:rsidR="003E0FD8" w:rsidRPr="004E68ED" w:rsidRDefault="003E0FD8">
      <w:pPr>
        <w:keepNext/>
        <w:jc w:val="right"/>
        <w:rPr>
          <w:lang w:val="en-GB"/>
        </w:rPr>
        <w:sectPr w:rsidR="003E0FD8" w:rsidRPr="004E68ED" w:rsidSect="004E68ED">
          <w:footerReference w:type="default" r:id="rId12"/>
          <w:pgSz w:w="11907" w:h="16839" w:code="9"/>
          <w:pgMar w:top="1417" w:right="1417" w:bottom="1417" w:left="1417" w:header="709" w:footer="709" w:gutter="0"/>
          <w:pgNumType w:start="1"/>
          <w:cols w:space="720"/>
          <w:docGrid w:linePitch="299"/>
        </w:sectPr>
      </w:pPr>
    </w:p>
    <w:p w14:paraId="43407181" w14:textId="126CC4F8" w:rsidR="00B27DFB" w:rsidRPr="004E68ED" w:rsidRDefault="00D90F9D">
      <w:pPr>
        <w:jc w:val="center"/>
        <w:rPr>
          <w:b/>
          <w:bCs/>
          <w:lang w:val="en-GB"/>
        </w:rPr>
      </w:pPr>
      <w:r w:rsidRPr="004E68ED">
        <w:rPr>
          <w:b/>
          <w:bCs/>
          <w:lang w:val="en-GB"/>
        </w:rPr>
        <w:lastRenderedPageBreak/>
        <w:t>R</w:t>
      </w:r>
      <w:r w:rsidR="00B917F8" w:rsidRPr="004E68ED">
        <w:rPr>
          <w:b/>
          <w:bCs/>
          <w:lang w:val="en-GB"/>
        </w:rPr>
        <w:t>esolution of the European Committee of the Regions</w:t>
      </w:r>
      <w:r w:rsidR="00F179AA" w:rsidRPr="004E68ED">
        <w:rPr>
          <w:b/>
          <w:bCs/>
          <w:lang w:val="en-GB"/>
        </w:rPr>
        <w:t xml:space="preserve"> − </w:t>
      </w:r>
      <w:r w:rsidR="00800D1A" w:rsidRPr="004E68ED">
        <w:rPr>
          <w:b/>
          <w:bCs/>
          <w:lang w:val="en-GB"/>
        </w:rPr>
        <w:t>T</w:t>
      </w:r>
      <w:r w:rsidR="00B4589A" w:rsidRPr="004E68ED">
        <w:rPr>
          <w:b/>
          <w:bCs/>
          <w:lang w:val="en-GB"/>
        </w:rPr>
        <w:t xml:space="preserve">he </w:t>
      </w:r>
      <w:r w:rsidR="002F2DDA" w:rsidRPr="004E68ED">
        <w:rPr>
          <w:b/>
          <w:bCs/>
          <w:lang w:val="en-GB"/>
        </w:rPr>
        <w:t>G</w:t>
      </w:r>
      <w:r w:rsidR="00800D1A" w:rsidRPr="004E68ED">
        <w:rPr>
          <w:b/>
          <w:bCs/>
          <w:lang w:val="en-GB"/>
        </w:rPr>
        <w:t xml:space="preserve">reen </w:t>
      </w:r>
      <w:r w:rsidR="002F2DDA" w:rsidRPr="004E68ED">
        <w:rPr>
          <w:b/>
          <w:bCs/>
          <w:lang w:val="en-GB"/>
        </w:rPr>
        <w:t xml:space="preserve">Deal </w:t>
      </w:r>
      <w:r w:rsidR="00800D1A" w:rsidRPr="004E68ED">
        <w:rPr>
          <w:b/>
          <w:bCs/>
          <w:lang w:val="en-GB"/>
        </w:rPr>
        <w:t>in partnership with local and regional authorities</w:t>
      </w:r>
    </w:p>
    <w:p w14:paraId="1A4F4B4A" w14:textId="77777777" w:rsidR="00F112ED" w:rsidRPr="004E68ED" w:rsidRDefault="00F112ED">
      <w:pPr>
        <w:rPr>
          <w:lang w:val="en-GB"/>
        </w:rPr>
      </w:pPr>
    </w:p>
    <w:p w14:paraId="6F081F29" w14:textId="77777777" w:rsidR="00165096" w:rsidRPr="004E68ED" w:rsidRDefault="00165096">
      <w:pPr>
        <w:keepNext/>
        <w:rPr>
          <w:lang w:val="en-GB"/>
        </w:rPr>
      </w:pPr>
      <w:r w:rsidRPr="004E68ED">
        <w:rPr>
          <w:lang w:val="en-GB"/>
        </w:rPr>
        <w:t xml:space="preserve">THE </w:t>
      </w:r>
      <w:r w:rsidR="00B917F8" w:rsidRPr="004E68ED">
        <w:rPr>
          <w:lang w:val="en-GB"/>
        </w:rPr>
        <w:t xml:space="preserve">EUROPEAN </w:t>
      </w:r>
      <w:r w:rsidRPr="004E68ED">
        <w:rPr>
          <w:lang w:val="en-GB"/>
        </w:rPr>
        <w:t>COMMITTEE OF THE REGIONS</w:t>
      </w:r>
      <w:r w:rsidR="00B917F8" w:rsidRPr="004E68ED">
        <w:rPr>
          <w:lang w:val="en-GB"/>
        </w:rPr>
        <w:t xml:space="preserve"> (CoR)</w:t>
      </w:r>
    </w:p>
    <w:p w14:paraId="25A05A76" w14:textId="77777777" w:rsidR="009525DC" w:rsidRPr="004E68ED" w:rsidRDefault="009525DC">
      <w:pPr>
        <w:keepNext/>
        <w:rPr>
          <w:lang w:val="en-GB"/>
        </w:rPr>
      </w:pPr>
    </w:p>
    <w:p w14:paraId="13BB305E" w14:textId="77777777" w:rsidR="00276FC9" w:rsidRPr="004E68ED" w:rsidRDefault="004B3D77">
      <w:pPr>
        <w:keepNext/>
        <w:rPr>
          <w:lang w:val="en-GB"/>
        </w:rPr>
      </w:pPr>
      <w:r w:rsidRPr="004E68ED">
        <w:rPr>
          <w:lang w:val="en-GB"/>
        </w:rPr>
        <w:t>Having regard to:</w:t>
      </w:r>
    </w:p>
    <w:p w14:paraId="0F3B5547" w14:textId="77777777" w:rsidR="004B3D77" w:rsidRPr="004E68ED" w:rsidRDefault="004B3D77">
      <w:pPr>
        <w:keepNext/>
        <w:rPr>
          <w:lang w:val="en-GB"/>
        </w:rPr>
      </w:pPr>
    </w:p>
    <w:p w14:paraId="72433113" w14:textId="5AD7C804" w:rsidR="00276FC9" w:rsidRPr="004E68ED" w:rsidRDefault="00276FC9" w:rsidP="00304502">
      <w:pPr>
        <w:pStyle w:val="ListParagraph"/>
        <w:keepNext/>
        <w:widowControl/>
        <w:numPr>
          <w:ilvl w:val="0"/>
          <w:numId w:val="142"/>
        </w:numPr>
        <w:rPr>
          <w:lang w:val="en-GB"/>
        </w:rPr>
      </w:pPr>
      <w:r w:rsidRPr="004E68ED">
        <w:rPr>
          <w:lang w:val="en-GB"/>
        </w:rPr>
        <w:t>the announcement of the European Commission President-elect</w:t>
      </w:r>
      <w:r w:rsidR="001F7B61" w:rsidRPr="004E68ED">
        <w:rPr>
          <w:lang w:val="en-GB"/>
        </w:rPr>
        <w:t>,</w:t>
      </w:r>
      <w:r w:rsidRPr="004E68ED">
        <w:rPr>
          <w:lang w:val="en-GB"/>
        </w:rPr>
        <w:t xml:space="preserve"> Ursula von der Leyen</w:t>
      </w:r>
      <w:r w:rsidR="001F7B61" w:rsidRPr="004E68ED">
        <w:rPr>
          <w:lang w:val="en-GB"/>
        </w:rPr>
        <w:t>,</w:t>
      </w:r>
      <w:r w:rsidRPr="004E68ED">
        <w:rPr>
          <w:lang w:val="en-GB"/>
        </w:rPr>
        <w:t xml:space="preserve"> of A European Green Deal in </w:t>
      </w:r>
      <w:hyperlink r:id="rId13" w:history="1">
        <w:r w:rsidRPr="004E68ED">
          <w:rPr>
            <w:rStyle w:val="Hyperlink"/>
            <w:i/>
            <w:lang w:val="en-GB"/>
          </w:rPr>
          <w:t>A Union that strives for more - My agenda for Europe</w:t>
        </w:r>
      </w:hyperlink>
      <w:r w:rsidRPr="004E68ED">
        <w:rPr>
          <w:lang w:val="en-GB"/>
        </w:rPr>
        <w:t>;</w:t>
      </w:r>
    </w:p>
    <w:p w14:paraId="16BE8D28" w14:textId="77777777" w:rsidR="00276FC9" w:rsidRPr="004E68ED" w:rsidRDefault="00276FC9" w:rsidP="00304502">
      <w:pPr>
        <w:rPr>
          <w:lang w:val="en-GB"/>
        </w:rPr>
      </w:pPr>
    </w:p>
    <w:p w14:paraId="2739F6B3" w14:textId="77777777" w:rsidR="00276FC9" w:rsidRPr="004E68ED" w:rsidRDefault="00276FC9" w:rsidP="00304502">
      <w:pPr>
        <w:pStyle w:val="ListParagraph"/>
        <w:widowControl/>
        <w:numPr>
          <w:ilvl w:val="0"/>
          <w:numId w:val="142"/>
        </w:numPr>
        <w:rPr>
          <w:lang w:val="en-GB"/>
        </w:rPr>
      </w:pPr>
      <w:r w:rsidRPr="004E68ED">
        <w:rPr>
          <w:lang w:val="en-GB"/>
        </w:rPr>
        <w:t>the fact that local and regional authorities implement 70% of all EU legislation</w:t>
      </w:r>
      <w:r w:rsidR="002D54A4" w:rsidRPr="004E68ED">
        <w:rPr>
          <w:lang w:val="en-GB"/>
        </w:rPr>
        <w:t>, 70% of climate mitigation measures, 90% of climate adaptation policies, and 65% of the Sustainable Development Goals</w:t>
      </w:r>
      <w:r w:rsidRPr="004E68ED">
        <w:rPr>
          <w:lang w:val="en-GB"/>
        </w:rPr>
        <w:t xml:space="preserve">, </w:t>
      </w:r>
      <w:r w:rsidR="002D54A4" w:rsidRPr="004E68ED">
        <w:rPr>
          <w:lang w:val="en-GB"/>
        </w:rPr>
        <w:t xml:space="preserve">represent </w:t>
      </w:r>
      <w:r w:rsidRPr="004E68ED">
        <w:rPr>
          <w:lang w:val="en-GB"/>
        </w:rPr>
        <w:t>one third of public spending and t</w:t>
      </w:r>
      <w:r w:rsidR="002D54A4" w:rsidRPr="004E68ED">
        <w:rPr>
          <w:lang w:val="en-GB"/>
        </w:rPr>
        <w:t>wo thirds of public investment</w:t>
      </w:r>
      <w:r w:rsidR="00CF75D1" w:rsidRPr="004E68ED">
        <w:rPr>
          <w:lang w:val="en-GB"/>
        </w:rPr>
        <w:t>:</w:t>
      </w:r>
      <w:r w:rsidRPr="004E68ED">
        <w:rPr>
          <w:lang w:val="en-GB"/>
        </w:rPr>
        <w:t xml:space="preserve"> </w:t>
      </w:r>
      <w:r w:rsidR="002D54A4" w:rsidRPr="004E68ED">
        <w:rPr>
          <w:lang w:val="en-GB"/>
        </w:rPr>
        <w:t xml:space="preserve">they </w:t>
      </w:r>
      <w:r w:rsidR="00CF75D1" w:rsidRPr="004E68ED">
        <w:rPr>
          <w:lang w:val="en-GB"/>
        </w:rPr>
        <w:t>will</w:t>
      </w:r>
      <w:r w:rsidR="002E0BC0" w:rsidRPr="004E68ED">
        <w:rPr>
          <w:lang w:val="en-GB"/>
        </w:rPr>
        <w:t xml:space="preserve"> </w:t>
      </w:r>
      <w:r w:rsidR="002D54A4" w:rsidRPr="004E68ED">
        <w:rPr>
          <w:lang w:val="en-GB"/>
        </w:rPr>
        <w:t>deliver</w:t>
      </w:r>
      <w:r w:rsidRPr="004E68ED">
        <w:rPr>
          <w:lang w:val="en-GB"/>
        </w:rPr>
        <w:t xml:space="preserve"> </w:t>
      </w:r>
      <w:r w:rsidR="002D54A4" w:rsidRPr="004E68ED">
        <w:rPr>
          <w:lang w:val="en-GB"/>
        </w:rPr>
        <w:t xml:space="preserve">the </w:t>
      </w:r>
      <w:r w:rsidR="00CF75D1" w:rsidRPr="004E68ED">
        <w:rPr>
          <w:lang w:val="en-GB"/>
        </w:rPr>
        <w:t xml:space="preserve">European </w:t>
      </w:r>
      <w:r w:rsidR="002D54A4" w:rsidRPr="004E68ED">
        <w:rPr>
          <w:lang w:val="en-GB"/>
        </w:rPr>
        <w:t>Green Deal on the ground</w:t>
      </w:r>
      <w:r w:rsidRPr="004E68ED">
        <w:rPr>
          <w:lang w:val="en-GB"/>
        </w:rPr>
        <w:t>;</w:t>
      </w:r>
      <w:r w:rsidR="002E0BC0" w:rsidRPr="004E68ED">
        <w:rPr>
          <w:lang w:val="en-GB"/>
        </w:rPr>
        <w:t xml:space="preserve"> </w:t>
      </w:r>
    </w:p>
    <w:p w14:paraId="75B9E938" w14:textId="77777777" w:rsidR="00276FC9" w:rsidRPr="004E68ED" w:rsidRDefault="00276FC9" w:rsidP="00304502">
      <w:pPr>
        <w:rPr>
          <w:lang w:val="en-GB"/>
        </w:rPr>
      </w:pPr>
    </w:p>
    <w:p w14:paraId="78351262" w14:textId="336C471B" w:rsidR="00EE2105" w:rsidRPr="004E68ED" w:rsidRDefault="00EE2105">
      <w:pPr>
        <w:keepNext/>
        <w:rPr>
          <w:b/>
          <w:i/>
          <w:lang w:val="en-GB"/>
        </w:rPr>
      </w:pPr>
      <w:r w:rsidRPr="004E68ED">
        <w:rPr>
          <w:b/>
          <w:i/>
          <w:lang w:val="en-GB"/>
        </w:rPr>
        <w:t xml:space="preserve">Towards an ambitious Green Deal </w:t>
      </w:r>
      <w:r w:rsidR="00276FC9" w:rsidRPr="004E68ED">
        <w:rPr>
          <w:b/>
          <w:i/>
          <w:lang w:val="en-GB"/>
        </w:rPr>
        <w:t>th</w:t>
      </w:r>
      <w:r w:rsidR="002D54A4" w:rsidRPr="004E68ED">
        <w:rPr>
          <w:b/>
          <w:i/>
          <w:lang w:val="en-GB"/>
        </w:rPr>
        <w:t>at delivers at grassroots level</w:t>
      </w:r>
      <w:r w:rsidR="00A93DC8" w:rsidRPr="004E68ED">
        <w:rPr>
          <w:b/>
          <w:i/>
          <w:lang w:val="en-GB"/>
        </w:rPr>
        <w:t>,</w:t>
      </w:r>
      <w:r w:rsidR="00D40CF3" w:rsidRPr="004E68ED">
        <w:rPr>
          <w:b/>
          <w:i/>
          <w:lang w:val="en-GB"/>
        </w:rPr>
        <w:t xml:space="preserve"> while striving for action at global level </w:t>
      </w:r>
    </w:p>
    <w:p w14:paraId="270F4259" w14:textId="77777777" w:rsidR="00F179AA" w:rsidRPr="004E68ED" w:rsidRDefault="00F179AA">
      <w:pPr>
        <w:keepNext/>
        <w:rPr>
          <w:lang w:val="en-GB"/>
        </w:rPr>
      </w:pPr>
    </w:p>
    <w:p w14:paraId="0F7116D8" w14:textId="4ACC73A7" w:rsidR="00C746ED" w:rsidRPr="004E68ED" w:rsidRDefault="002D54A4">
      <w:pPr>
        <w:pStyle w:val="Heading1"/>
      </w:pPr>
      <w:r w:rsidRPr="004E68ED">
        <w:t xml:space="preserve">stresses that an ambitious Green Deal </w:t>
      </w:r>
      <w:r w:rsidRPr="004E68ED">
        <w:rPr>
          <w:lang w:eastAsia="fr-BE"/>
        </w:rPr>
        <w:t>is necessary to make Europe the first climate neutral continent</w:t>
      </w:r>
      <w:r w:rsidRPr="004E68ED">
        <w:t xml:space="preserve"> </w:t>
      </w:r>
      <w:r w:rsidR="005C216F" w:rsidRPr="004E68ED">
        <w:t>by</w:t>
      </w:r>
      <w:r w:rsidR="007606E6" w:rsidRPr="004E68ED">
        <w:t xml:space="preserve"> </w:t>
      </w:r>
      <w:r w:rsidR="005C216F" w:rsidRPr="004E68ED">
        <w:t>2050, welcome</w:t>
      </w:r>
      <w:r w:rsidR="006A30BA" w:rsidRPr="004E68ED">
        <w:t>s</w:t>
      </w:r>
      <w:r w:rsidR="005C216F" w:rsidRPr="004E68ED">
        <w:t xml:space="preserve"> that it </w:t>
      </w:r>
      <w:r w:rsidRPr="004E68ED">
        <w:t>put</w:t>
      </w:r>
      <w:r w:rsidR="00CF75D1" w:rsidRPr="004E68ED">
        <w:t>s</w:t>
      </w:r>
      <w:r w:rsidR="00276FC9" w:rsidRPr="004E68ED">
        <w:t xml:space="preserve"> sustainability at the heart of </w:t>
      </w:r>
      <w:r w:rsidR="005C216F" w:rsidRPr="004E68ED">
        <w:t xml:space="preserve">EU </w:t>
      </w:r>
      <w:r w:rsidR="00276FC9" w:rsidRPr="004E68ED">
        <w:t>policy-making</w:t>
      </w:r>
      <w:r w:rsidR="00CF75D1" w:rsidRPr="004E68ED">
        <w:t>.</w:t>
      </w:r>
      <w:r w:rsidR="00276FC9" w:rsidRPr="004E68ED">
        <w:t xml:space="preserve"> </w:t>
      </w:r>
      <w:r w:rsidR="00CF75D1" w:rsidRPr="004E68ED">
        <w:t>T</w:t>
      </w:r>
      <w:r w:rsidR="00276FC9" w:rsidRPr="004E68ED">
        <w:t xml:space="preserve">he Green Deal </w:t>
      </w:r>
      <w:r w:rsidR="00CF75D1" w:rsidRPr="004E68ED">
        <w:t>should</w:t>
      </w:r>
      <w:r w:rsidR="00276FC9" w:rsidRPr="004E68ED">
        <w:t xml:space="preserve"> be </w:t>
      </w:r>
      <w:r w:rsidR="00885D8F" w:rsidRPr="004E68ED">
        <w:t xml:space="preserve">an </w:t>
      </w:r>
      <w:r w:rsidR="00276FC9" w:rsidRPr="004E68ED">
        <w:t xml:space="preserve">agenda-setting </w:t>
      </w:r>
      <w:r w:rsidR="00885D8F" w:rsidRPr="004E68ED">
        <w:t xml:space="preserve">tool </w:t>
      </w:r>
      <w:r w:rsidR="00276FC9" w:rsidRPr="004E68ED">
        <w:t>that leads to the integration of sustainability criteria into all EU policies, macroeconomic priorities and financial instruments</w:t>
      </w:r>
      <w:r w:rsidR="006C7ACE" w:rsidRPr="004E68ED">
        <w:t xml:space="preserve">, </w:t>
      </w:r>
      <w:r w:rsidR="00CF75D1" w:rsidRPr="004E68ED">
        <w:t xml:space="preserve">the </w:t>
      </w:r>
      <w:r w:rsidR="006C7ACE" w:rsidRPr="004E68ED">
        <w:t>European Semester</w:t>
      </w:r>
      <w:r w:rsidR="00A93DC8" w:rsidRPr="004E68ED">
        <w:t xml:space="preserve"> and</w:t>
      </w:r>
      <w:r w:rsidR="00276FC9" w:rsidRPr="004E68ED">
        <w:t xml:space="preserve"> the Multiannual Financial Framework 2021-2027;</w:t>
      </w:r>
    </w:p>
    <w:p w14:paraId="00860D07" w14:textId="77777777" w:rsidR="00276FC9" w:rsidRPr="004E68ED" w:rsidRDefault="00276FC9">
      <w:pPr>
        <w:rPr>
          <w:lang w:val="en-GB"/>
        </w:rPr>
      </w:pPr>
    </w:p>
    <w:p w14:paraId="31AE6DA1" w14:textId="08ADF21A" w:rsidR="00E76648" w:rsidRPr="004E68ED" w:rsidRDefault="002D54A4">
      <w:pPr>
        <w:pStyle w:val="Heading1"/>
      </w:pPr>
      <w:r w:rsidRPr="004E68ED">
        <w:rPr>
          <w:lang w:eastAsia="fr-BE"/>
        </w:rPr>
        <w:t xml:space="preserve">underlines that the Green Deal </w:t>
      </w:r>
      <w:r w:rsidR="00885D8F" w:rsidRPr="004E68ED">
        <w:rPr>
          <w:lang w:eastAsia="fr-BE"/>
        </w:rPr>
        <w:t xml:space="preserve">should be an instrument </w:t>
      </w:r>
      <w:r w:rsidR="00FB6F8F" w:rsidRPr="004E68ED">
        <w:rPr>
          <w:lang w:eastAsia="fr-BE"/>
        </w:rPr>
        <w:t>to</w:t>
      </w:r>
      <w:r w:rsidR="00276FC9" w:rsidRPr="004E68ED">
        <w:t xml:space="preserve"> achieve the </w:t>
      </w:r>
      <w:r w:rsidR="00111E9D" w:rsidRPr="004E68ED">
        <w:t xml:space="preserve">goals of the Biodiversity Strategy and the </w:t>
      </w:r>
      <w:r w:rsidR="00276FC9" w:rsidRPr="004E68ED">
        <w:t>Paris Agreement,</w:t>
      </w:r>
      <w:r w:rsidR="00D17AD0" w:rsidRPr="004E68ED">
        <w:t xml:space="preserve"> and</w:t>
      </w:r>
      <w:r w:rsidR="00276FC9" w:rsidRPr="004E68ED" w:rsidDel="00FB6F8F">
        <w:rPr>
          <w:lang w:eastAsia="fr-BE"/>
        </w:rPr>
        <w:t xml:space="preserve"> </w:t>
      </w:r>
      <w:r w:rsidR="00BC5E4F" w:rsidRPr="004E68ED">
        <w:rPr>
          <w:lang w:eastAsia="fr-BE"/>
        </w:rPr>
        <w:t xml:space="preserve">fully </w:t>
      </w:r>
      <w:r w:rsidR="00FB6F8F" w:rsidRPr="004E68ED">
        <w:rPr>
          <w:lang w:eastAsia="fr-BE"/>
        </w:rPr>
        <w:t>implement</w:t>
      </w:r>
      <w:r w:rsidR="00E76648" w:rsidRPr="004E68ED">
        <w:rPr>
          <w:lang w:eastAsia="fr-BE"/>
        </w:rPr>
        <w:t xml:space="preserve"> the UN 2030 Agenda and the Sustainable Development Goals (SDGs)</w:t>
      </w:r>
      <w:r w:rsidR="00224DCE" w:rsidRPr="004E68ED">
        <w:rPr>
          <w:lang w:eastAsia="fr-BE"/>
        </w:rPr>
        <w:t>,</w:t>
      </w:r>
      <w:r w:rsidR="00111E9D" w:rsidRPr="004E68ED">
        <w:t xml:space="preserve"> </w:t>
      </w:r>
      <w:r w:rsidR="00111E9D" w:rsidRPr="004E68ED">
        <w:rPr>
          <w:bCs/>
          <w:iCs/>
        </w:rPr>
        <w:t>and make an ambitious EU contribution to the post-2020 Global Biodiversity Framework, which will be decided on by the COP15 to the Convention on Biological Diversity (CBD)</w:t>
      </w:r>
      <w:r w:rsidR="00E76648" w:rsidRPr="004E68ED">
        <w:t>;</w:t>
      </w:r>
    </w:p>
    <w:p w14:paraId="0BB09A27" w14:textId="77777777" w:rsidR="00E76648" w:rsidRPr="004E68ED" w:rsidRDefault="00E76648">
      <w:pPr>
        <w:tabs>
          <w:tab w:val="left" w:pos="567"/>
        </w:tabs>
        <w:ind w:left="567" w:hanging="567"/>
        <w:rPr>
          <w:lang w:val="en-GB"/>
        </w:rPr>
      </w:pPr>
    </w:p>
    <w:p w14:paraId="11166EEC" w14:textId="142D859F" w:rsidR="00D60120" w:rsidRPr="004E68ED" w:rsidRDefault="0038157B">
      <w:pPr>
        <w:pStyle w:val="Heading1"/>
      </w:pPr>
      <w:r w:rsidRPr="004E68ED">
        <w:t xml:space="preserve">calls on </w:t>
      </w:r>
      <w:r w:rsidR="00D60120" w:rsidRPr="004E68ED">
        <w:t xml:space="preserve">the Commission </w:t>
      </w:r>
      <w:r w:rsidR="003A5CE0" w:rsidRPr="004E68ED">
        <w:t>to review, where necessary</w:t>
      </w:r>
      <w:r w:rsidR="00CF75D1" w:rsidRPr="004E68ED">
        <w:t>,</w:t>
      </w:r>
      <w:r w:rsidR="00FB6F8F" w:rsidRPr="004E68ED">
        <w:t xml:space="preserve"> </w:t>
      </w:r>
      <w:r w:rsidR="003A5CE0" w:rsidRPr="004E68ED">
        <w:t xml:space="preserve">the </w:t>
      </w:r>
      <w:r w:rsidR="00085953" w:rsidRPr="004E68ED">
        <w:t>EU targets included in the Clean Energy Package to ensure</w:t>
      </w:r>
      <w:r w:rsidR="002D54A4" w:rsidRPr="004E68ED">
        <w:t xml:space="preserve"> </w:t>
      </w:r>
      <w:r w:rsidR="00CF75D1" w:rsidRPr="004E68ED">
        <w:t>a</w:t>
      </w:r>
      <w:r w:rsidR="002E0BC0" w:rsidRPr="004E68ED">
        <w:t xml:space="preserve"> </w:t>
      </w:r>
      <w:r w:rsidR="002D54A4" w:rsidRPr="004E68ED">
        <w:t>climate neutral Europe that boosts European competitiveness</w:t>
      </w:r>
      <w:r w:rsidR="00111E9D" w:rsidRPr="004E68ED">
        <w:t xml:space="preserve"> and social justice by 2050 at the latest</w:t>
      </w:r>
      <w:r w:rsidR="001D77F7" w:rsidRPr="004E68ED">
        <w:t xml:space="preserve">, </w:t>
      </w:r>
      <w:r w:rsidR="00CF75D1" w:rsidRPr="004E68ED">
        <w:t xml:space="preserve">and </w:t>
      </w:r>
      <w:r w:rsidR="00A94EAB" w:rsidRPr="004E68ED">
        <w:t xml:space="preserve">to </w:t>
      </w:r>
      <w:r w:rsidR="001D77F7" w:rsidRPr="004E68ED">
        <w:t>enshrine them in a European Climate Law</w:t>
      </w:r>
      <w:r w:rsidR="00CF75D1" w:rsidRPr="004E68ED">
        <w:t>. I</w:t>
      </w:r>
      <w:r w:rsidR="001D77F7" w:rsidRPr="004E68ED">
        <w:t xml:space="preserve">n this regard, calls </w:t>
      </w:r>
      <w:r w:rsidR="00C1119D" w:rsidRPr="004E68ED">
        <w:t xml:space="preserve">for </w:t>
      </w:r>
      <w:r w:rsidR="0038590B" w:rsidRPr="004E68ED">
        <w:t xml:space="preserve">raising </w:t>
      </w:r>
      <w:r w:rsidR="001D77F7" w:rsidRPr="004E68ED">
        <w:t xml:space="preserve">the </w:t>
      </w:r>
      <w:r w:rsidR="00DE7A95" w:rsidRPr="004E68ED">
        <w:t>greenhouse</w:t>
      </w:r>
      <w:r w:rsidR="005C216F" w:rsidRPr="004E68ED">
        <w:t xml:space="preserve"> </w:t>
      </w:r>
      <w:r w:rsidR="00D61384" w:rsidRPr="004E68ED">
        <w:t>g</w:t>
      </w:r>
      <w:r w:rsidR="005C216F" w:rsidRPr="004E68ED">
        <w:t>as (</w:t>
      </w:r>
      <w:r w:rsidR="001D77F7" w:rsidRPr="004E68ED">
        <w:t>GHG</w:t>
      </w:r>
      <w:r w:rsidR="005C216F" w:rsidRPr="004E68ED">
        <w:t>)</w:t>
      </w:r>
      <w:r w:rsidR="001D77F7" w:rsidRPr="004E68ED">
        <w:t xml:space="preserve"> emissions reduction target to at least</w:t>
      </w:r>
      <w:r w:rsidR="002E0BC0" w:rsidRPr="004E68ED">
        <w:t xml:space="preserve"> </w:t>
      </w:r>
      <w:r w:rsidR="001D77F7" w:rsidRPr="004E68ED">
        <w:t>55%, the energy efficiency target to 40% and renewable energy to 40%, by 2030;</w:t>
      </w:r>
    </w:p>
    <w:p w14:paraId="24AA1E07" w14:textId="77777777" w:rsidR="00AD097F" w:rsidRPr="004E68ED" w:rsidRDefault="00AD097F">
      <w:pPr>
        <w:rPr>
          <w:lang w:val="en-GB"/>
        </w:rPr>
      </w:pPr>
    </w:p>
    <w:p w14:paraId="2D4EBCE9" w14:textId="77777777" w:rsidR="00D60120" w:rsidRPr="004E68ED" w:rsidRDefault="00D60120" w:rsidP="00304502">
      <w:pPr>
        <w:pStyle w:val="ListParagraph"/>
        <w:keepNext/>
        <w:widowControl/>
        <w:tabs>
          <w:tab w:val="left" w:pos="567"/>
        </w:tabs>
        <w:ind w:left="0"/>
        <w:rPr>
          <w:b/>
          <w:i/>
          <w:lang w:val="en-GB"/>
        </w:rPr>
      </w:pPr>
      <w:r w:rsidRPr="004E68ED">
        <w:rPr>
          <w:b/>
          <w:i/>
          <w:lang w:val="en-GB"/>
        </w:rPr>
        <w:t>A Green Deal that applies a place-based approach and ensures policy coherence</w:t>
      </w:r>
    </w:p>
    <w:p w14:paraId="40B207FB" w14:textId="77777777" w:rsidR="00D60120" w:rsidRPr="004E68ED" w:rsidRDefault="00D60120" w:rsidP="00304502">
      <w:pPr>
        <w:keepNext/>
        <w:tabs>
          <w:tab w:val="left" w:pos="567"/>
        </w:tabs>
        <w:ind w:left="567" w:hanging="567"/>
        <w:rPr>
          <w:lang w:val="en-GB"/>
        </w:rPr>
      </w:pPr>
    </w:p>
    <w:p w14:paraId="08E8F567" w14:textId="53EDC236" w:rsidR="00D60120" w:rsidRPr="004E68ED" w:rsidRDefault="00D60120">
      <w:pPr>
        <w:pStyle w:val="Heading1"/>
      </w:pPr>
      <w:r w:rsidRPr="004E68ED">
        <w:t xml:space="preserve">calls </w:t>
      </w:r>
      <w:r w:rsidR="00C1119D" w:rsidRPr="004E68ED">
        <w:t xml:space="preserve">for </w:t>
      </w:r>
      <w:r w:rsidRPr="004E68ED">
        <w:t>the Green Deal to adopt a holistic</w:t>
      </w:r>
      <w:r w:rsidR="008F5F66" w:rsidRPr="004E68ED">
        <w:t>,</w:t>
      </w:r>
      <w:r w:rsidRPr="004E68ED">
        <w:t xml:space="preserve"> place-based approach that proposes concrete solutions </w:t>
      </w:r>
      <w:r w:rsidR="008F5F66" w:rsidRPr="004E68ED">
        <w:t xml:space="preserve">that take </w:t>
      </w:r>
      <w:r w:rsidRPr="004E68ED">
        <w:t>into account the economic, socia</w:t>
      </w:r>
      <w:r w:rsidR="001D77F7" w:rsidRPr="004E68ED">
        <w:t>l, geographic</w:t>
      </w:r>
      <w:r w:rsidRPr="004E68ED">
        <w:t xml:space="preserve"> and environmental challenges and opportunities of </w:t>
      </w:r>
      <w:r w:rsidR="00CF75D1" w:rsidRPr="004E68ED">
        <w:t>the</w:t>
      </w:r>
      <w:r w:rsidR="0050169E" w:rsidRPr="004E68ED">
        <w:t xml:space="preserve"> </w:t>
      </w:r>
      <w:r w:rsidR="005C216F" w:rsidRPr="004E68ED">
        <w:t>regions and cities</w:t>
      </w:r>
      <w:r w:rsidR="00111E9D" w:rsidRPr="004E68ED">
        <w:t xml:space="preserve"> and has the participation and involvement of local population in the design and implementation of future proposals</w:t>
      </w:r>
      <w:r w:rsidRPr="004E68ED">
        <w:t>;</w:t>
      </w:r>
    </w:p>
    <w:p w14:paraId="6C1B17AE" w14:textId="77777777" w:rsidR="00D60120" w:rsidRPr="004E68ED" w:rsidRDefault="00D60120">
      <w:pPr>
        <w:rPr>
          <w:lang w:val="en-GB"/>
        </w:rPr>
      </w:pPr>
    </w:p>
    <w:p w14:paraId="66684EF1" w14:textId="316BE4C0" w:rsidR="009006D0" w:rsidRPr="004E68ED" w:rsidRDefault="002A3C5E">
      <w:pPr>
        <w:pStyle w:val="Heading1"/>
      </w:pPr>
      <w:r w:rsidRPr="004E68ED">
        <w:t xml:space="preserve">expects the Green Deal to mainstream sustainability and to make policy integration an approach </w:t>
      </w:r>
      <w:r w:rsidR="00D60120" w:rsidRPr="004E68ED">
        <w:t>and not only a priority, and to ensure policy coherence</w:t>
      </w:r>
      <w:r w:rsidR="00CF75D1" w:rsidRPr="004E68ED">
        <w:t>,</w:t>
      </w:r>
      <w:r w:rsidR="00D60120" w:rsidRPr="004E68ED">
        <w:t xml:space="preserve"> </w:t>
      </w:r>
      <w:r w:rsidR="001D77F7" w:rsidRPr="004E68ED">
        <w:t xml:space="preserve">also in the evaluation or fitness-checks, </w:t>
      </w:r>
      <w:r w:rsidR="00D60120" w:rsidRPr="004E68ED">
        <w:t xml:space="preserve">in order to align </w:t>
      </w:r>
      <w:r w:rsidR="0000133D" w:rsidRPr="004E68ED">
        <w:t xml:space="preserve">the </w:t>
      </w:r>
      <w:r w:rsidR="00D60120" w:rsidRPr="004E68ED">
        <w:t>priorities, ambition</w:t>
      </w:r>
      <w:r w:rsidR="0038157B" w:rsidRPr="004E68ED">
        <w:t>s</w:t>
      </w:r>
      <w:r w:rsidR="00D60120" w:rsidRPr="004E68ED">
        <w:t xml:space="preserve"> and timelines o</w:t>
      </w:r>
      <w:r w:rsidR="001D77F7" w:rsidRPr="004E68ED">
        <w:t xml:space="preserve">f different EU policies and to </w:t>
      </w:r>
      <w:r w:rsidR="00D60120" w:rsidRPr="004E68ED">
        <w:t xml:space="preserve">avoid </w:t>
      </w:r>
      <w:r w:rsidR="00D60120" w:rsidRPr="004E68ED">
        <w:lastRenderedPageBreak/>
        <w:t>duplication or contradictory procedures and outcomes</w:t>
      </w:r>
      <w:r w:rsidR="00CF75D1" w:rsidRPr="004E68ED">
        <w:t xml:space="preserve">. </w:t>
      </w:r>
      <w:r w:rsidR="0038157B" w:rsidRPr="004E68ED">
        <w:t xml:space="preserve">Calls on </w:t>
      </w:r>
      <w:r w:rsidR="001D77F7" w:rsidRPr="004E68ED">
        <w:t>the Commission to use the Better Regulation guidelines and toolbox to help design future-proof legislation</w:t>
      </w:r>
      <w:r w:rsidR="00B178C4" w:rsidRPr="004E68ED">
        <w:t xml:space="preserve"> </w:t>
      </w:r>
      <w:r w:rsidR="00B178C4" w:rsidRPr="004E68ED">
        <w:rPr>
          <w:bCs/>
          <w:iCs/>
        </w:rPr>
        <w:t>and warns in this context against a formalistic approach to better regulation such as the "one-in-one-out" principle for EU legislation, which does not do justice to the complexities of the political and regulatory challenges which have to be met</w:t>
      </w:r>
      <w:r w:rsidR="00B178C4" w:rsidRPr="004E68ED">
        <w:t>;</w:t>
      </w:r>
    </w:p>
    <w:p w14:paraId="5EEAA5E4" w14:textId="77777777" w:rsidR="00B14E67" w:rsidRPr="004E68ED" w:rsidRDefault="00B14E67">
      <w:pPr>
        <w:rPr>
          <w:lang w:val="en-GB"/>
        </w:rPr>
      </w:pPr>
    </w:p>
    <w:p w14:paraId="6AEB0866" w14:textId="7880B4B7" w:rsidR="00B14E67" w:rsidRPr="004E68ED" w:rsidRDefault="009D5431">
      <w:pPr>
        <w:pStyle w:val="Heading1"/>
      </w:pPr>
      <w:r w:rsidRPr="004E68ED">
        <w:t>requests</w:t>
      </w:r>
      <w:r w:rsidR="00E14D77" w:rsidRPr="004E68ED">
        <w:t xml:space="preserve"> that</w:t>
      </w:r>
      <w:r w:rsidRPr="004E68ED">
        <w:t xml:space="preserve"> the Commission </w:t>
      </w:r>
      <w:r w:rsidR="001D77F7" w:rsidRPr="004E68ED">
        <w:t>propose</w:t>
      </w:r>
      <w:r w:rsidR="00B14E67" w:rsidRPr="004E68ED">
        <w:t xml:space="preserve"> measures at EU level towards </w:t>
      </w:r>
      <w:r w:rsidR="00CF75D1" w:rsidRPr="004E68ED">
        <w:t xml:space="preserve">an </w:t>
      </w:r>
      <w:r w:rsidR="00B14E67" w:rsidRPr="004E68ED">
        <w:t>internalisation of external costs and the coherent implementation of the "polluter pays" principle;</w:t>
      </w:r>
    </w:p>
    <w:p w14:paraId="55AE1276" w14:textId="77777777" w:rsidR="003E3C19" w:rsidRPr="004E68ED" w:rsidRDefault="003E3C19">
      <w:pPr>
        <w:rPr>
          <w:lang w:val="en-GB"/>
        </w:rPr>
      </w:pPr>
    </w:p>
    <w:p w14:paraId="120717CE" w14:textId="7CA1BEEC" w:rsidR="00BF121C" w:rsidRPr="004E68ED" w:rsidRDefault="00967537">
      <w:pPr>
        <w:pStyle w:val="Heading1"/>
      </w:pPr>
      <w:r w:rsidRPr="004E68ED">
        <w:t>r</w:t>
      </w:r>
      <w:r w:rsidR="003E3C19" w:rsidRPr="004E68ED">
        <w:t xml:space="preserve">eiterates its </w:t>
      </w:r>
      <w:r w:rsidRPr="004E68ED">
        <w:t xml:space="preserve">call </w:t>
      </w:r>
      <w:r w:rsidR="003E3C19" w:rsidRPr="004E68ED">
        <w:t>for better reflecting environmental and climate-change considerations in the EU's external relations</w:t>
      </w:r>
      <w:r w:rsidR="00CF75D1" w:rsidRPr="004E68ED">
        <w:t>.</w:t>
      </w:r>
      <w:r w:rsidR="003E3C19" w:rsidRPr="004E68ED">
        <w:t xml:space="preserve"> </w:t>
      </w:r>
      <w:r w:rsidR="00CF75D1" w:rsidRPr="004E68ED">
        <w:t>H</w:t>
      </w:r>
      <w:r w:rsidR="003E3C19" w:rsidRPr="004E68ED">
        <w:t>ighlights</w:t>
      </w:r>
      <w:r w:rsidR="00CF75D1" w:rsidRPr="004E68ED">
        <w:t xml:space="preserve"> also</w:t>
      </w:r>
      <w:r w:rsidR="003E3C19" w:rsidRPr="004E68ED">
        <w:t xml:space="preserve"> the importance of sharing peer-to-peer experience within platforms of territorial cooperation such as </w:t>
      </w:r>
      <w:hyperlink r:id="rId14" w:history="1">
        <w:r w:rsidR="003E3C19" w:rsidRPr="004E68ED">
          <w:rPr>
            <w:rStyle w:val="Hyperlink"/>
          </w:rPr>
          <w:t>ARLEM</w:t>
        </w:r>
      </w:hyperlink>
      <w:r w:rsidR="003E3C19" w:rsidRPr="004E68ED">
        <w:t xml:space="preserve"> and </w:t>
      </w:r>
      <w:hyperlink r:id="rId15" w:history="1">
        <w:r w:rsidR="003E3C19" w:rsidRPr="004E68ED">
          <w:rPr>
            <w:rStyle w:val="Hyperlink"/>
          </w:rPr>
          <w:t>CORLEAP</w:t>
        </w:r>
      </w:hyperlink>
      <w:r w:rsidR="00E14D77" w:rsidRPr="0000242E">
        <w:t>,</w:t>
      </w:r>
      <w:r w:rsidR="003E3C19" w:rsidRPr="004E68ED">
        <w:t xml:space="preserve"> as well as through city-to-city partnerships</w:t>
      </w:r>
      <w:r w:rsidR="00CF75D1" w:rsidRPr="004E68ED">
        <w:t>.</w:t>
      </w:r>
      <w:r w:rsidRPr="004E68ED">
        <w:t xml:space="preserve"> </w:t>
      </w:r>
      <w:r w:rsidR="00CF75D1" w:rsidRPr="004E68ED">
        <w:t>C</w:t>
      </w:r>
      <w:r w:rsidR="00171489" w:rsidRPr="004E68ED">
        <w:t xml:space="preserve">limate change </w:t>
      </w:r>
      <w:r w:rsidRPr="004E68ED">
        <w:t xml:space="preserve">should </w:t>
      </w:r>
      <w:r w:rsidR="001D77F7" w:rsidRPr="004E68ED">
        <w:t xml:space="preserve">remain </w:t>
      </w:r>
      <w:r w:rsidR="00171489" w:rsidRPr="004E68ED">
        <w:t xml:space="preserve">a strategic diplomatic priority </w:t>
      </w:r>
      <w:r w:rsidR="001D77F7" w:rsidRPr="004E68ED">
        <w:t xml:space="preserve">of the EU </w:t>
      </w:r>
      <w:r w:rsidR="00171489" w:rsidRPr="004E68ED">
        <w:t>in order to ensure that third countries adopt and implement ambitious policies to reach climate neutrality;</w:t>
      </w:r>
    </w:p>
    <w:p w14:paraId="3528F2A2" w14:textId="06B4C3A8" w:rsidR="00AD097F" w:rsidRPr="004E68ED" w:rsidRDefault="00AD097F">
      <w:pPr>
        <w:rPr>
          <w:lang w:val="en-GB"/>
        </w:rPr>
      </w:pPr>
    </w:p>
    <w:p w14:paraId="5FC2C657" w14:textId="7494BC8F" w:rsidR="00B178C4" w:rsidRPr="004E68ED" w:rsidRDefault="00B178C4" w:rsidP="006455CA">
      <w:pPr>
        <w:pStyle w:val="Heading1"/>
      </w:pPr>
      <w:r w:rsidRPr="006455CA">
        <w:t>with</w:t>
      </w:r>
      <w:r w:rsidRPr="004E68ED">
        <w:rPr>
          <w:bCs/>
          <w:iCs/>
        </w:rPr>
        <w:t xml:space="preserve"> regard to these factors, emphasises that an ambitious integrated maritime policy allowing for a comprehensive and consistent approach to the oceans is vital in order to keep up their contribution to the fight against climate change, safeguard their biodiversity on which our food supply also depends, and harness their capacity to contribute to the development of renewable energies;</w:t>
      </w:r>
    </w:p>
    <w:p w14:paraId="52A86619" w14:textId="77777777" w:rsidR="00B178C4" w:rsidRPr="004E68ED" w:rsidRDefault="00B178C4">
      <w:pPr>
        <w:rPr>
          <w:lang w:val="en-GB"/>
        </w:rPr>
      </w:pPr>
    </w:p>
    <w:p w14:paraId="7EF0FE8C" w14:textId="77777777" w:rsidR="00D60120" w:rsidRPr="004E68ED" w:rsidRDefault="004D07AB" w:rsidP="00304502">
      <w:pPr>
        <w:pStyle w:val="ListParagraph"/>
        <w:keepNext/>
        <w:widowControl/>
        <w:ind w:left="0"/>
        <w:rPr>
          <w:b/>
          <w:i/>
          <w:lang w:val="en-GB"/>
        </w:rPr>
      </w:pPr>
      <w:r w:rsidRPr="004E68ED">
        <w:rPr>
          <w:b/>
          <w:i/>
          <w:lang w:val="en-GB"/>
        </w:rPr>
        <w:t>Achieving tangible results on the ground using m</w:t>
      </w:r>
      <w:r w:rsidR="00D60120" w:rsidRPr="004E68ED">
        <w:rPr>
          <w:b/>
          <w:i/>
          <w:lang w:val="en-GB"/>
        </w:rPr>
        <w:t>ulti-level governance and active subsidiarity</w:t>
      </w:r>
      <w:r w:rsidR="002E0BC0" w:rsidRPr="004E68ED">
        <w:rPr>
          <w:b/>
          <w:i/>
          <w:lang w:val="en-GB"/>
        </w:rPr>
        <w:t xml:space="preserve"> </w:t>
      </w:r>
    </w:p>
    <w:p w14:paraId="7E624EEC" w14:textId="77777777" w:rsidR="00D60120" w:rsidRPr="004E68ED" w:rsidRDefault="00D60120" w:rsidP="00304502">
      <w:pPr>
        <w:keepNext/>
        <w:rPr>
          <w:lang w:val="en-GB"/>
        </w:rPr>
      </w:pPr>
    </w:p>
    <w:p w14:paraId="1C7A9C90" w14:textId="38987183" w:rsidR="00D86217" w:rsidRPr="004E68ED" w:rsidRDefault="00D60120">
      <w:pPr>
        <w:pStyle w:val="Heading1"/>
      </w:pPr>
      <w:r w:rsidRPr="004E68ED">
        <w:t>calls on the Commission to ensure the Green Deal is based on a mul</w:t>
      </w:r>
      <w:r w:rsidR="009D5431" w:rsidRPr="004E68ED">
        <w:t>ti-level governance framework</w:t>
      </w:r>
      <w:r w:rsidR="006A30BA" w:rsidRPr="004E68ED">
        <w:t>;</w:t>
      </w:r>
      <w:r w:rsidR="009D5431" w:rsidRPr="004E68ED">
        <w:t xml:space="preserve"> </w:t>
      </w:r>
      <w:r w:rsidR="006A30BA" w:rsidRPr="004E68ED">
        <w:t xml:space="preserve">welcomes the </w:t>
      </w:r>
      <w:hyperlink r:id="rId16" w:history="1">
        <w:r w:rsidR="0000242E">
          <w:rPr>
            <w:rStyle w:val="Hyperlink"/>
          </w:rPr>
          <w:t>European Parliament's resolutions</w:t>
        </w:r>
      </w:hyperlink>
      <w:r w:rsidR="006A30BA" w:rsidRPr="004E68ED">
        <w:t xml:space="preserve"> on the 2019 UN Climate Change Conference in Madrid </w:t>
      </w:r>
      <w:r w:rsidR="00B178C4" w:rsidRPr="004E68ED">
        <w:t>and on the climate emergency with the call for immediate and ambitious action to limit global warming to 1</w:t>
      </w:r>
      <w:r w:rsidR="00FB4EA5" w:rsidRPr="004E68ED">
        <w:t>.</w:t>
      </w:r>
      <w:r w:rsidR="00B178C4" w:rsidRPr="004E68ED">
        <w:t>5</w:t>
      </w:r>
      <w:r w:rsidR="00FB4EA5" w:rsidRPr="004E68ED">
        <w:t> °</w:t>
      </w:r>
      <w:r w:rsidR="00B178C4" w:rsidRPr="004E68ED">
        <w:t xml:space="preserve">C, </w:t>
      </w:r>
      <w:r w:rsidR="006A30BA" w:rsidRPr="004E68ED">
        <w:t xml:space="preserve">acknowledging that </w:t>
      </w:r>
      <w:r w:rsidR="00E14D77" w:rsidRPr="004E68ED">
        <w:t xml:space="preserve">a </w:t>
      </w:r>
      <w:r w:rsidRPr="004E68ED">
        <w:t xml:space="preserve">lasting transition to a sustainable and low-carbon society </w:t>
      </w:r>
      <w:r w:rsidR="009D5431" w:rsidRPr="004E68ED">
        <w:t>cannot be achieved without</w:t>
      </w:r>
      <w:r w:rsidRPr="004E68ED">
        <w:t xml:space="preserve"> </w:t>
      </w:r>
      <w:r w:rsidR="00777EE1" w:rsidRPr="004E68ED">
        <w:t xml:space="preserve">both </w:t>
      </w:r>
      <w:r w:rsidRPr="004E68ED">
        <w:t>bottom-up and</w:t>
      </w:r>
      <w:r w:rsidR="0067670C" w:rsidRPr="004E68ED">
        <w:t xml:space="preserve"> top-down </w:t>
      </w:r>
      <w:r w:rsidR="00CD6B7E" w:rsidRPr="004E68ED">
        <w:t>involvement</w:t>
      </w:r>
      <w:r w:rsidR="0067670C" w:rsidRPr="004E68ED">
        <w:t>;</w:t>
      </w:r>
      <w:r w:rsidR="00F70564" w:rsidRPr="004E68ED">
        <w:t xml:space="preserve"> </w:t>
      </w:r>
      <w:r w:rsidR="00E2341B" w:rsidRPr="004E68ED">
        <w:t xml:space="preserve">underlines that local and regional authorities </w:t>
      </w:r>
      <w:r w:rsidR="00F70564" w:rsidRPr="004E68ED">
        <w:t>stand ready to shape the European Climate Pact together with citizens, businesses, universities, and research centres;</w:t>
      </w:r>
    </w:p>
    <w:p w14:paraId="26D4F849" w14:textId="4328C159" w:rsidR="00D86217" w:rsidRPr="004E68ED" w:rsidRDefault="00D86217">
      <w:pPr>
        <w:rPr>
          <w:lang w:val="en-GB"/>
        </w:rPr>
      </w:pPr>
    </w:p>
    <w:p w14:paraId="0D8E5C16" w14:textId="452DC500" w:rsidR="00B178C4" w:rsidRPr="004E68ED" w:rsidRDefault="00B178C4" w:rsidP="00D17AD0">
      <w:pPr>
        <w:pStyle w:val="Heading1"/>
      </w:pPr>
      <w:r w:rsidRPr="004E68ED">
        <w:rPr>
          <w:bCs/>
          <w:iCs/>
        </w:rPr>
        <w:t>calls for support in the form of EU funding to always be subject to a climate impact and sustainability assessment. Subsidies, aid and support programmes that directly or indirectly harm the environment should be reviewed in light of their consistency with the climate and sustainability goals, and should be abolished;</w:t>
      </w:r>
    </w:p>
    <w:p w14:paraId="3B80F66D" w14:textId="77777777" w:rsidR="00B178C4" w:rsidRPr="004E68ED" w:rsidRDefault="00B178C4">
      <w:pPr>
        <w:rPr>
          <w:lang w:val="en-GB"/>
        </w:rPr>
      </w:pPr>
    </w:p>
    <w:p w14:paraId="5345D64B" w14:textId="44848C19" w:rsidR="00D86217" w:rsidRPr="004E68ED" w:rsidRDefault="000D498E">
      <w:pPr>
        <w:pStyle w:val="Heading1"/>
      </w:pPr>
      <w:r w:rsidRPr="004E68ED">
        <w:t xml:space="preserve">calls on </w:t>
      </w:r>
      <w:r w:rsidR="00D60120" w:rsidRPr="004E68ED">
        <w:t xml:space="preserve">the </w:t>
      </w:r>
      <w:r w:rsidR="009D5431" w:rsidRPr="004E68ED">
        <w:t>Commission to present</w:t>
      </w:r>
      <w:r w:rsidR="00D60120" w:rsidRPr="004E68ED">
        <w:t xml:space="preserve"> </w:t>
      </w:r>
      <w:r w:rsidR="009D5431" w:rsidRPr="004E68ED">
        <w:t xml:space="preserve">Green Deal </w:t>
      </w:r>
      <w:r w:rsidR="00D60120" w:rsidRPr="004E68ED">
        <w:t xml:space="preserve">action agendas with measurable objectives, targeted actions, and </w:t>
      </w:r>
      <w:r w:rsidR="005C216F" w:rsidRPr="004E68ED">
        <w:t xml:space="preserve">appropriate </w:t>
      </w:r>
      <w:r w:rsidR="00D60120" w:rsidRPr="004E68ED">
        <w:t>funding</w:t>
      </w:r>
      <w:r w:rsidR="009D5431" w:rsidRPr="004E68ED">
        <w:t>, prepared in cooperation with local and regional authorities</w:t>
      </w:r>
      <w:r w:rsidR="00967537" w:rsidRPr="004E68ED">
        <w:t>, in accordance with their</w:t>
      </w:r>
      <w:r w:rsidR="004D07AB" w:rsidRPr="004E68ED">
        <w:t xml:space="preserve"> </w:t>
      </w:r>
      <w:r w:rsidR="00967537" w:rsidRPr="004E68ED">
        <w:t xml:space="preserve">legal competences </w:t>
      </w:r>
      <w:r w:rsidR="004D07AB" w:rsidRPr="004E68ED">
        <w:t>within the Member States</w:t>
      </w:r>
      <w:r w:rsidR="00D60120" w:rsidRPr="004E68ED">
        <w:t xml:space="preserve">. The Green Deal </w:t>
      </w:r>
      <w:r w:rsidR="009250A4" w:rsidRPr="004E68ED">
        <w:t xml:space="preserve">will not be successful </w:t>
      </w:r>
      <w:r w:rsidR="005C216F" w:rsidRPr="004E68ED">
        <w:t>unless it is</w:t>
      </w:r>
      <w:r w:rsidR="009250A4" w:rsidRPr="004E68ED">
        <w:t xml:space="preserve"> translated into</w:t>
      </w:r>
      <w:r w:rsidR="00F35B3B" w:rsidRPr="004E68ED">
        <w:t xml:space="preserve"> </w:t>
      </w:r>
      <w:r w:rsidR="00D60120" w:rsidRPr="004E68ED">
        <w:t xml:space="preserve">strategies and plans </w:t>
      </w:r>
      <w:r w:rsidRPr="004E68ED">
        <w:t xml:space="preserve">that are </w:t>
      </w:r>
      <w:r w:rsidR="00D60120" w:rsidRPr="004E68ED">
        <w:t xml:space="preserve">developed </w:t>
      </w:r>
      <w:r w:rsidR="009250A4" w:rsidRPr="004E68ED">
        <w:t xml:space="preserve">and implemented </w:t>
      </w:r>
      <w:r w:rsidR="00D60120" w:rsidRPr="004E68ED">
        <w:t>at the EU, national, regional and local levels;</w:t>
      </w:r>
      <w:r w:rsidR="00D86217" w:rsidRPr="004E68ED">
        <w:t xml:space="preserve"> </w:t>
      </w:r>
    </w:p>
    <w:p w14:paraId="393AE9EA" w14:textId="77777777" w:rsidR="009D5431" w:rsidRPr="004E68ED" w:rsidRDefault="009D5431">
      <w:pPr>
        <w:rPr>
          <w:lang w:val="en-GB"/>
        </w:rPr>
      </w:pPr>
    </w:p>
    <w:p w14:paraId="242C9AB7" w14:textId="02CDAC8E" w:rsidR="001D77F7" w:rsidRPr="004E68ED" w:rsidRDefault="001D77F7">
      <w:pPr>
        <w:pStyle w:val="Heading1"/>
      </w:pPr>
      <w:r w:rsidRPr="004E68ED">
        <w:t xml:space="preserve">calls on the Commission to monitor the progress of national governments and </w:t>
      </w:r>
      <w:r w:rsidR="005C216F" w:rsidRPr="004E68ED">
        <w:t>local and regional authorities (</w:t>
      </w:r>
      <w:r w:rsidRPr="004E68ED">
        <w:t>LRAs</w:t>
      </w:r>
      <w:r w:rsidR="005C216F" w:rsidRPr="004E68ED">
        <w:t>)</w:t>
      </w:r>
      <w:r w:rsidRPr="004E68ED">
        <w:t xml:space="preserve"> in addressing enabling factors and obstacles through the State of the Energy Union process with </w:t>
      </w:r>
      <w:r w:rsidR="0075247E" w:rsidRPr="004E68ED">
        <w:t xml:space="preserve">the </w:t>
      </w:r>
      <w:r w:rsidRPr="004E68ED">
        <w:t>close and direct involvement of local and regional authorities;</w:t>
      </w:r>
    </w:p>
    <w:p w14:paraId="5E3816C0" w14:textId="77777777" w:rsidR="001D77F7" w:rsidRPr="004E68ED" w:rsidRDefault="001D77F7">
      <w:pPr>
        <w:rPr>
          <w:lang w:val="en-GB"/>
        </w:rPr>
      </w:pPr>
    </w:p>
    <w:p w14:paraId="28CDAD67" w14:textId="17BED5D5" w:rsidR="008F3704" w:rsidRPr="004E68ED" w:rsidRDefault="009D5431">
      <w:pPr>
        <w:pStyle w:val="Heading1"/>
      </w:pPr>
      <w:r w:rsidRPr="004E68ED">
        <w:lastRenderedPageBreak/>
        <w:t xml:space="preserve">calls </w:t>
      </w:r>
      <w:r w:rsidR="00F35B3B" w:rsidRPr="004E68ED">
        <w:t>on Member States to</w:t>
      </w:r>
      <w:r w:rsidR="00497A14" w:rsidRPr="004E68ED">
        <w:t xml:space="preserve"> put in place</w:t>
      </w:r>
      <w:r w:rsidRPr="004E68ED">
        <w:t xml:space="preserve"> Multilevel Climate and Energy Dialogues and actively involve</w:t>
      </w:r>
      <w:r w:rsidR="001D77F7" w:rsidRPr="004E68ED">
        <w:t xml:space="preserve"> local and regional authorities </w:t>
      </w:r>
      <w:r w:rsidRPr="004E68ED">
        <w:t xml:space="preserve">in drafting and </w:t>
      </w:r>
      <w:r w:rsidR="001D77F7" w:rsidRPr="004E68ED">
        <w:t>revising</w:t>
      </w:r>
      <w:r w:rsidRPr="004E68ED">
        <w:t xml:space="preserve"> the National Energy and Climate Plans</w:t>
      </w:r>
      <w:r w:rsidR="00967537" w:rsidRPr="004E68ED">
        <w:t>,</w:t>
      </w:r>
      <w:r w:rsidRPr="004E68ED">
        <w:t xml:space="preserve"> aligning their ambition</w:t>
      </w:r>
      <w:r w:rsidR="00043CF5" w:rsidRPr="004E68ED">
        <w:t>s</w:t>
      </w:r>
      <w:r w:rsidRPr="004E68ED">
        <w:t xml:space="preserve"> to the pathways towards climate neutrality</w:t>
      </w:r>
      <w:r w:rsidR="00AB4081" w:rsidRPr="004E68ED">
        <w:t xml:space="preserve">, </w:t>
      </w:r>
      <w:r w:rsidR="00CF3E6E" w:rsidRPr="004E68ED">
        <w:t>and</w:t>
      </w:r>
      <w:r w:rsidR="00AB4081" w:rsidRPr="004E68ED">
        <w:t xml:space="preserve"> in developing Loc</w:t>
      </w:r>
      <w:r w:rsidR="00184E05" w:rsidRPr="004E68ED">
        <w:t xml:space="preserve">ally and Regionally Determined </w:t>
      </w:r>
      <w:r w:rsidR="00AB4081" w:rsidRPr="004E68ED">
        <w:t xml:space="preserve">Contributions </w:t>
      </w:r>
      <w:r w:rsidR="0090526D" w:rsidRPr="004E68ED">
        <w:t>to</w:t>
      </w:r>
      <w:r w:rsidR="00AB4081" w:rsidRPr="004E68ED">
        <w:t xml:space="preserve"> complement the NDCs</w:t>
      </w:r>
      <w:r w:rsidR="00AB4081" w:rsidRPr="004E68ED">
        <w:rPr>
          <w:rStyle w:val="FootnoteReference"/>
        </w:rPr>
        <w:footnoteReference w:id="2"/>
      </w:r>
      <w:r w:rsidRPr="004E68ED">
        <w:t>;</w:t>
      </w:r>
      <w:r w:rsidR="002E0BC0" w:rsidRPr="004E68ED">
        <w:t xml:space="preserve"> </w:t>
      </w:r>
    </w:p>
    <w:p w14:paraId="74AA6255" w14:textId="4CBDFE41" w:rsidR="009D5431" w:rsidRPr="004E68ED" w:rsidRDefault="009D5431">
      <w:pPr>
        <w:rPr>
          <w:lang w:val="en-GB"/>
        </w:rPr>
      </w:pPr>
    </w:p>
    <w:p w14:paraId="2FCFE77E" w14:textId="3657CAD3" w:rsidR="00B178C4" w:rsidRPr="004E68ED" w:rsidRDefault="00B178C4" w:rsidP="00D17AD0">
      <w:pPr>
        <w:pStyle w:val="Heading1"/>
      </w:pPr>
      <w:r w:rsidRPr="004E68ED">
        <w:rPr>
          <w:bCs/>
          <w:iCs/>
        </w:rPr>
        <w:t>commits in this regard to setting up a Forum of local and regional authorities, and stakeholders for cooperation with the European Commission and Member States to bring together all relevant actors on a regular basis in order to provide feedback on the implementation of the Green Deal related actions and initiatives as well as suggestions to legislative proposals and an exchange of best practices across all levels of governance;</w:t>
      </w:r>
    </w:p>
    <w:p w14:paraId="22D7E890" w14:textId="77777777" w:rsidR="00B178C4" w:rsidRPr="004E68ED" w:rsidRDefault="00B178C4">
      <w:pPr>
        <w:rPr>
          <w:lang w:val="en-GB"/>
        </w:rPr>
      </w:pPr>
    </w:p>
    <w:p w14:paraId="478B3AD5" w14:textId="73F7EE77" w:rsidR="00ED1C13" w:rsidRPr="004E68ED" w:rsidRDefault="003E3C19">
      <w:pPr>
        <w:pStyle w:val="Heading1"/>
      </w:pPr>
      <w:r w:rsidRPr="004E68ED">
        <w:t xml:space="preserve">calls on the Commission to include the Green Deal among the topics </w:t>
      </w:r>
      <w:r w:rsidR="00ED1C13" w:rsidRPr="004E68ED">
        <w:t>of the upcoming</w:t>
      </w:r>
      <w:r w:rsidRPr="004E68ED">
        <w:t xml:space="preserve"> Conference on the Future of Europ</w:t>
      </w:r>
      <w:r w:rsidR="00ED1C13" w:rsidRPr="004E68ED">
        <w:t>e</w:t>
      </w:r>
      <w:r w:rsidR="00A31E62" w:rsidRPr="004E68ED">
        <w:t>,</w:t>
      </w:r>
      <w:r w:rsidR="00F9695D" w:rsidRPr="004E68ED">
        <w:t xml:space="preserve"> as climate change </w:t>
      </w:r>
      <w:r w:rsidR="00B178C4" w:rsidRPr="004E68ED">
        <w:t>and sustainable development, within the scope of the UN's SDGs, have</w:t>
      </w:r>
      <w:r w:rsidR="00F9695D" w:rsidRPr="004E68ED">
        <w:t xml:space="preserve"> a direct impact on</w:t>
      </w:r>
      <w:r w:rsidR="00967537" w:rsidRPr="004E68ED">
        <w:t xml:space="preserve"> the</w:t>
      </w:r>
      <w:r w:rsidR="00F9695D" w:rsidRPr="004E68ED">
        <w:t xml:space="preserve"> wellbeing of the EU</w:t>
      </w:r>
      <w:r w:rsidR="00A31E62" w:rsidRPr="004E68ED">
        <w:t>'s</w:t>
      </w:r>
      <w:r w:rsidR="00F9695D" w:rsidRPr="004E68ED">
        <w:t xml:space="preserve"> citizens;</w:t>
      </w:r>
    </w:p>
    <w:p w14:paraId="435CE335" w14:textId="77777777" w:rsidR="00092ECB" w:rsidRPr="004E68ED" w:rsidRDefault="00092ECB">
      <w:pPr>
        <w:rPr>
          <w:lang w:val="en-GB"/>
        </w:rPr>
      </w:pPr>
    </w:p>
    <w:p w14:paraId="5D853C52" w14:textId="6C92D8FE" w:rsidR="00400B12" w:rsidRPr="004E68ED" w:rsidRDefault="00967537">
      <w:pPr>
        <w:pStyle w:val="Heading1"/>
      </w:pPr>
      <w:r w:rsidRPr="004E68ED">
        <w:t xml:space="preserve">expects </w:t>
      </w:r>
      <w:r w:rsidR="001752BC" w:rsidRPr="004E68ED">
        <w:t>the Commission to further support</w:t>
      </w:r>
      <w:r w:rsidR="00092ECB" w:rsidRPr="004E68ED">
        <w:t xml:space="preserve"> </w:t>
      </w:r>
      <w:r w:rsidR="001752BC" w:rsidRPr="004E68ED">
        <w:t xml:space="preserve">and expand </w:t>
      </w:r>
      <w:r w:rsidR="00092ECB" w:rsidRPr="004E68ED">
        <w:t>initiatives such as the Covenant of Mayors for Climate and Energy</w:t>
      </w:r>
      <w:r w:rsidR="00974947" w:rsidRPr="004E68ED">
        <w:t>,</w:t>
      </w:r>
      <w:r w:rsidR="00092ECB" w:rsidRPr="004E68ED">
        <w:t xml:space="preserve"> both within and beyond the EU;</w:t>
      </w:r>
      <w:r w:rsidR="00D86217" w:rsidRPr="004E68ED">
        <w:t xml:space="preserve"> </w:t>
      </w:r>
    </w:p>
    <w:p w14:paraId="5B680E59" w14:textId="77777777" w:rsidR="00400B12" w:rsidRPr="004E68ED" w:rsidRDefault="00400B12">
      <w:pPr>
        <w:rPr>
          <w:lang w:val="en-GB"/>
        </w:rPr>
      </w:pPr>
    </w:p>
    <w:p w14:paraId="41FB5023" w14:textId="2184DC47" w:rsidR="00C746ED" w:rsidRPr="004E68ED" w:rsidRDefault="00974947">
      <w:pPr>
        <w:pStyle w:val="Heading1"/>
      </w:pPr>
      <w:r w:rsidRPr="004E68ED">
        <w:t xml:space="preserve">calls on </w:t>
      </w:r>
      <w:r w:rsidR="00400B12" w:rsidRPr="004E68ED">
        <w:t xml:space="preserve">the Commission to take fully into consideration the conclusions </w:t>
      </w:r>
      <w:r w:rsidR="00D91750" w:rsidRPr="004E68ED">
        <w:t>included in</w:t>
      </w:r>
      <w:r w:rsidR="002E0BC0" w:rsidRPr="004E68ED">
        <w:t xml:space="preserve"> </w:t>
      </w:r>
      <w:r w:rsidR="00400B12" w:rsidRPr="004E68ED">
        <w:t>the implementation report</w:t>
      </w:r>
      <w:r w:rsidR="00D91750" w:rsidRPr="004E68ED">
        <w:t>s</w:t>
      </w:r>
      <w:r w:rsidR="00400B12" w:rsidRPr="004E68ED">
        <w:t xml:space="preserve"> on the clean air policies and on public procurement made by the CoR regional hubs</w:t>
      </w:r>
      <w:r w:rsidR="00400B12" w:rsidRPr="004E68ED">
        <w:rPr>
          <w:sz w:val="24"/>
          <w:szCs w:val="24"/>
          <w:vertAlign w:val="superscript"/>
        </w:rPr>
        <w:footnoteReference w:id="3"/>
      </w:r>
      <w:r w:rsidR="00400B12" w:rsidRPr="004E68ED">
        <w:t xml:space="preserve"> pilot project (RegHubs)</w:t>
      </w:r>
      <w:r w:rsidR="00967537" w:rsidRPr="004E68ED">
        <w:t>. T</w:t>
      </w:r>
      <w:r w:rsidR="00F35B3B" w:rsidRPr="004E68ED">
        <w:t>he RegHubs project</w:t>
      </w:r>
      <w:r w:rsidR="00400B12" w:rsidRPr="004E68ED">
        <w:t xml:space="preserve"> </w:t>
      </w:r>
      <w:r w:rsidR="00967537" w:rsidRPr="004E68ED">
        <w:t xml:space="preserve">should also be used </w:t>
      </w:r>
      <w:r w:rsidR="00400B12" w:rsidRPr="004E68ED">
        <w:t>for the Green Deal initiatives;</w:t>
      </w:r>
      <w:r w:rsidR="002E0BC0" w:rsidRPr="004E68ED">
        <w:t xml:space="preserve"> </w:t>
      </w:r>
    </w:p>
    <w:p w14:paraId="285624E1" w14:textId="77777777" w:rsidR="00400B12" w:rsidRPr="004E68ED" w:rsidRDefault="00400B12">
      <w:pPr>
        <w:rPr>
          <w:lang w:val="en-GB"/>
        </w:rPr>
      </w:pPr>
    </w:p>
    <w:p w14:paraId="0BD1A56E" w14:textId="77777777" w:rsidR="009A5492" w:rsidRPr="004E68ED" w:rsidRDefault="009A5492" w:rsidP="00304502">
      <w:pPr>
        <w:pStyle w:val="ListParagraph"/>
        <w:keepNext/>
        <w:widowControl/>
        <w:ind w:left="0"/>
        <w:rPr>
          <w:b/>
          <w:i/>
          <w:lang w:val="en-GB"/>
        </w:rPr>
      </w:pPr>
      <w:r w:rsidRPr="004E68ED">
        <w:rPr>
          <w:b/>
          <w:i/>
          <w:lang w:val="en-GB"/>
        </w:rPr>
        <w:t>Addressing transitions that make regions and cities more sustainable</w:t>
      </w:r>
      <w:r w:rsidR="002E0BC0" w:rsidRPr="004E68ED">
        <w:rPr>
          <w:b/>
          <w:i/>
          <w:lang w:val="en-GB"/>
        </w:rPr>
        <w:t xml:space="preserve"> </w:t>
      </w:r>
    </w:p>
    <w:p w14:paraId="04C430B3" w14:textId="77777777" w:rsidR="009A5492" w:rsidRPr="004E68ED" w:rsidRDefault="009A5492" w:rsidP="00304502">
      <w:pPr>
        <w:keepNext/>
        <w:rPr>
          <w:lang w:val="en-GB"/>
        </w:rPr>
      </w:pPr>
    </w:p>
    <w:p w14:paraId="758CFE4B" w14:textId="618F1F4E" w:rsidR="00400B12" w:rsidRPr="004E68ED" w:rsidRDefault="009A5492">
      <w:pPr>
        <w:pStyle w:val="Heading1"/>
      </w:pPr>
      <w:r w:rsidRPr="004E68ED">
        <w:t xml:space="preserve">calls </w:t>
      </w:r>
      <w:r w:rsidR="002B3328" w:rsidRPr="004E68ED">
        <w:t xml:space="preserve">for </w:t>
      </w:r>
      <w:r w:rsidRPr="004E68ED">
        <w:t xml:space="preserve">the Green Deal to address </w:t>
      </w:r>
      <w:r w:rsidR="00400B12" w:rsidRPr="004E68ED">
        <w:t>different</w:t>
      </w:r>
      <w:r w:rsidR="003562CA" w:rsidRPr="004E68ED">
        <w:t xml:space="preserve"> </w:t>
      </w:r>
      <w:r w:rsidRPr="004E68ED">
        <w:t xml:space="preserve">transition challenges, </w:t>
      </w:r>
      <w:r w:rsidR="00400B12" w:rsidRPr="004E68ED">
        <w:t>including those related to</w:t>
      </w:r>
      <w:r w:rsidRPr="004E68ED">
        <w:t xml:space="preserve"> energy,</w:t>
      </w:r>
      <w:r w:rsidR="00B178C4" w:rsidRPr="004E68ED">
        <w:t xml:space="preserve"> the oceans,</w:t>
      </w:r>
      <w:r w:rsidRPr="004E68ED">
        <w:t xml:space="preserve"> </w:t>
      </w:r>
      <w:r w:rsidR="007E132B" w:rsidRPr="004E68ED">
        <w:t xml:space="preserve">the </w:t>
      </w:r>
      <w:r w:rsidRPr="004E68ED">
        <w:t>circular economy, food production and consumption, mobility, digital</w:t>
      </w:r>
      <w:r w:rsidR="00400B12" w:rsidRPr="004E68ED">
        <w:t>isation</w:t>
      </w:r>
      <w:r w:rsidR="002D71DD" w:rsidRPr="004E68ED">
        <w:t xml:space="preserve"> and the</w:t>
      </w:r>
      <w:r w:rsidRPr="004E68ED">
        <w:t xml:space="preserve"> </w:t>
      </w:r>
      <w:r w:rsidR="00400B12" w:rsidRPr="004E68ED">
        <w:t>environment</w:t>
      </w:r>
      <w:r w:rsidR="00CD6B7E" w:rsidRPr="004E68ED">
        <w:t>;</w:t>
      </w:r>
      <w:r w:rsidR="003562CA" w:rsidRPr="004E68ED">
        <w:t xml:space="preserve"> </w:t>
      </w:r>
    </w:p>
    <w:p w14:paraId="3D047716" w14:textId="0FA632DE" w:rsidR="00400B12" w:rsidRPr="004E68ED" w:rsidRDefault="00400B12">
      <w:pPr>
        <w:rPr>
          <w:lang w:val="en-GB"/>
        </w:rPr>
      </w:pPr>
    </w:p>
    <w:p w14:paraId="75FA3694" w14:textId="2C71A9CE" w:rsidR="00C03442" w:rsidRPr="004E68ED" w:rsidRDefault="00C03442" w:rsidP="00D17AD0">
      <w:pPr>
        <w:pStyle w:val="Heading1"/>
      </w:pPr>
      <w:r w:rsidRPr="004E68ED">
        <w:t>calls</w:t>
      </w:r>
      <w:r w:rsidRPr="004E68ED">
        <w:rPr>
          <w:bCs/>
          <w:iCs/>
        </w:rPr>
        <w:t xml:space="preserve"> on the European Parliament to commission an official study on the environmental impact of the European Parliament relocating between Brussels and Strasbourg twelve times a year;</w:t>
      </w:r>
    </w:p>
    <w:p w14:paraId="19D0F188" w14:textId="77777777" w:rsidR="00C03442" w:rsidRPr="004E68ED" w:rsidRDefault="00C03442">
      <w:pPr>
        <w:rPr>
          <w:lang w:val="en-GB"/>
        </w:rPr>
      </w:pPr>
    </w:p>
    <w:p w14:paraId="6F5959EF" w14:textId="1963030D" w:rsidR="00C746ED" w:rsidRPr="004E68ED" w:rsidRDefault="002B3328">
      <w:pPr>
        <w:pStyle w:val="Heading1"/>
      </w:pPr>
      <w:r w:rsidRPr="004E68ED">
        <w:t xml:space="preserve">calls on </w:t>
      </w:r>
      <w:r w:rsidR="00A42997" w:rsidRPr="004E68ED">
        <w:t xml:space="preserve">the European Commission to ensure that </w:t>
      </w:r>
      <w:r w:rsidR="00967537" w:rsidRPr="004E68ED">
        <w:t xml:space="preserve">the </w:t>
      </w:r>
      <w:r w:rsidR="00400B12" w:rsidRPr="004E68ED">
        <w:t xml:space="preserve">transitions </w:t>
      </w:r>
      <w:r w:rsidR="00A42997" w:rsidRPr="004E68ED">
        <w:t>are</w:t>
      </w:r>
      <w:r w:rsidR="00400B12" w:rsidRPr="004E68ED">
        <w:t xml:space="preserve"> just and </w:t>
      </w:r>
      <w:r w:rsidR="00400B12" w:rsidRPr="004E68ED">
        <w:rPr>
          <w:lang w:eastAsia="fr-BE"/>
        </w:rPr>
        <w:t>participatory</w:t>
      </w:r>
      <w:r w:rsidR="00967537" w:rsidRPr="004E68ED">
        <w:rPr>
          <w:lang w:eastAsia="fr-BE"/>
        </w:rPr>
        <w:t>,</w:t>
      </w:r>
      <w:r w:rsidR="00400B12" w:rsidRPr="004E68ED">
        <w:t xml:space="preserve"> </w:t>
      </w:r>
      <w:r w:rsidR="00400B12" w:rsidRPr="004E68ED">
        <w:rPr>
          <w:lang w:eastAsia="fr-BE"/>
        </w:rPr>
        <w:t>engaging all actors in partnership, without</w:t>
      </w:r>
      <w:r w:rsidR="00400B12" w:rsidRPr="004E68ED">
        <w:t xml:space="preserve"> leaving anyone behind;</w:t>
      </w:r>
    </w:p>
    <w:p w14:paraId="51DC28F3" w14:textId="38A4330C" w:rsidR="00400B12" w:rsidRPr="004E68ED" w:rsidRDefault="00400B12">
      <w:pPr>
        <w:rPr>
          <w:lang w:val="en-GB" w:eastAsia="fr-BE"/>
        </w:rPr>
      </w:pPr>
    </w:p>
    <w:p w14:paraId="0E471320" w14:textId="7937A23D" w:rsidR="00E973EA" w:rsidRPr="004E68ED" w:rsidRDefault="00E973EA" w:rsidP="00D17AD0">
      <w:pPr>
        <w:pStyle w:val="Heading1"/>
        <w:rPr>
          <w:lang w:eastAsia="fr-BE"/>
        </w:rPr>
      </w:pPr>
      <w:r w:rsidRPr="004E68ED">
        <w:rPr>
          <w:bCs/>
          <w:iCs/>
        </w:rPr>
        <w:t>calls on the European Commission to ensure the economic, social and territorial cohesion of the transitions, paying a particular attention to least favoured regions, areas affected by industrial transition, sparsely populated areas and environmentally fragile territories, such as islands and mountain regions</w:t>
      </w:r>
      <w:r w:rsidR="00D17AD0" w:rsidRPr="004E68ED">
        <w:rPr>
          <w:bCs/>
          <w:iCs/>
        </w:rPr>
        <w:t>;</w:t>
      </w:r>
    </w:p>
    <w:p w14:paraId="54CFC777" w14:textId="77777777" w:rsidR="00E973EA" w:rsidRPr="004E68ED" w:rsidRDefault="00E973EA">
      <w:pPr>
        <w:rPr>
          <w:lang w:val="en-GB" w:eastAsia="fr-BE"/>
        </w:rPr>
      </w:pPr>
    </w:p>
    <w:p w14:paraId="061BC753" w14:textId="5055EE2B" w:rsidR="00F203C3" w:rsidRPr="004E68ED" w:rsidRDefault="00E03A53">
      <w:pPr>
        <w:pStyle w:val="Heading1"/>
      </w:pPr>
      <w:r w:rsidRPr="004E68ED">
        <w:t xml:space="preserve">stresses that public procurement offers a potentially strong lever for ensuring a more sustainable food </w:t>
      </w:r>
      <w:r w:rsidRPr="004E68ED">
        <w:rPr>
          <w:lang w:eastAsia="fr-BE"/>
        </w:rPr>
        <w:t>supply</w:t>
      </w:r>
      <w:r w:rsidRPr="004E68ED">
        <w:t xml:space="preserve"> (local and organic) through public</w:t>
      </w:r>
      <w:r w:rsidR="005946EE" w:rsidRPr="004E68ED">
        <w:t>-</w:t>
      </w:r>
      <w:r w:rsidRPr="004E68ED">
        <w:t xml:space="preserve">sector catering contracts in school and hospital </w:t>
      </w:r>
      <w:r w:rsidRPr="004E68ED">
        <w:lastRenderedPageBreak/>
        <w:t>canteens</w:t>
      </w:r>
      <w:r w:rsidR="00E973EA" w:rsidRPr="004E68ED">
        <w:t>, as well as for developing sustainable mobility</w:t>
      </w:r>
      <w:r w:rsidRPr="004E68ED">
        <w:t xml:space="preserve">. These examples can strengthen the rural-urban nexus expressed in the Habitat III New Urban Agenda (NUA); </w:t>
      </w:r>
      <w:r w:rsidR="00B14E67" w:rsidRPr="004E68ED">
        <w:t>calls once again on the Commission in particular to clarify existing constraints within its public procurement rules</w:t>
      </w:r>
      <w:r w:rsidR="00B21DDB" w:rsidRPr="004E68ED">
        <w:t xml:space="preserve"> in order to apply sustainability criter</w:t>
      </w:r>
      <w:r w:rsidRPr="004E68ED">
        <w:t>ia</w:t>
      </w:r>
      <w:r w:rsidR="005946EE" w:rsidRPr="004E68ED">
        <w:t xml:space="preserve">, </w:t>
      </w:r>
      <w:r w:rsidRPr="004E68ED">
        <w:t>by publishing handbooks</w:t>
      </w:r>
      <w:r w:rsidR="00D04A96" w:rsidRPr="004E68ED">
        <w:t>, for example</w:t>
      </w:r>
      <w:r w:rsidRPr="004E68ED">
        <w:t>;</w:t>
      </w:r>
      <w:r w:rsidR="002E0BC0" w:rsidRPr="004E68ED">
        <w:t xml:space="preserve"> </w:t>
      </w:r>
    </w:p>
    <w:p w14:paraId="72BA74D8" w14:textId="77777777" w:rsidR="00B14E67" w:rsidRPr="004E68ED" w:rsidRDefault="00B14E67">
      <w:pPr>
        <w:rPr>
          <w:lang w:val="en-GB"/>
        </w:rPr>
      </w:pPr>
    </w:p>
    <w:p w14:paraId="76217D6C" w14:textId="1345BBF1" w:rsidR="003E3C19" w:rsidRPr="004E68ED" w:rsidRDefault="00C746ED">
      <w:pPr>
        <w:pStyle w:val="Heading1"/>
      </w:pPr>
      <w:r w:rsidRPr="004E68ED">
        <w:t xml:space="preserve">underlines the need for the development of comprehensive education and of skills, which will be much-needed </w:t>
      </w:r>
      <w:r w:rsidRPr="004E68ED">
        <w:rPr>
          <w:lang w:eastAsia="fr-BE"/>
        </w:rPr>
        <w:t>in</w:t>
      </w:r>
      <w:r w:rsidRPr="004E68ED">
        <w:t xml:space="preserve"> the green transition; further reiterates its calls for an Observatory of such </w:t>
      </w:r>
      <w:r w:rsidR="008A0C55" w:rsidRPr="004E68ED">
        <w:t xml:space="preserve">a </w:t>
      </w:r>
      <w:r w:rsidRPr="004E68ED">
        <w:t>transition, which would gather regional-level data supporting policy</w:t>
      </w:r>
      <w:r w:rsidR="00B51463" w:rsidRPr="004E68ED">
        <w:t>-</w:t>
      </w:r>
      <w:r w:rsidRPr="004E68ED">
        <w:t>making at all levels of governance;</w:t>
      </w:r>
    </w:p>
    <w:p w14:paraId="040EB368" w14:textId="77777777" w:rsidR="00E973EA" w:rsidRPr="004E68ED" w:rsidRDefault="00E973EA">
      <w:pPr>
        <w:rPr>
          <w:b/>
          <w:lang w:val="en-GB"/>
        </w:rPr>
      </w:pPr>
    </w:p>
    <w:p w14:paraId="06B30D86" w14:textId="77777777" w:rsidR="00B21DDB" w:rsidRPr="004E68ED" w:rsidRDefault="00111096" w:rsidP="00304502">
      <w:pPr>
        <w:pStyle w:val="ListParagraph"/>
        <w:keepNext/>
        <w:widowControl/>
        <w:ind w:left="0"/>
        <w:rPr>
          <w:b/>
          <w:i/>
          <w:lang w:val="en-GB"/>
        </w:rPr>
      </w:pPr>
      <w:r w:rsidRPr="004E68ED">
        <w:rPr>
          <w:b/>
          <w:i/>
          <w:lang w:val="en-GB"/>
        </w:rPr>
        <w:t>Energy and climate transition</w:t>
      </w:r>
    </w:p>
    <w:p w14:paraId="1E1A849B" w14:textId="77777777" w:rsidR="00B21DDB" w:rsidRPr="004E68ED" w:rsidRDefault="00B21DDB" w:rsidP="00304502">
      <w:pPr>
        <w:keepNext/>
        <w:rPr>
          <w:lang w:val="en-GB"/>
        </w:rPr>
      </w:pPr>
    </w:p>
    <w:p w14:paraId="7A5DE740" w14:textId="308F1B9F" w:rsidR="00111096" w:rsidRPr="004E68ED" w:rsidRDefault="00B21DDB">
      <w:pPr>
        <w:pStyle w:val="Heading1"/>
      </w:pPr>
      <w:r w:rsidRPr="004E68ED">
        <w:t xml:space="preserve">calls on the Commission to ensure that European Climate Law </w:t>
      </w:r>
      <w:r w:rsidR="00BC5E4F" w:rsidRPr="004E68ED">
        <w:t xml:space="preserve">is based on </w:t>
      </w:r>
      <w:r w:rsidR="00B51463" w:rsidRPr="004E68ED">
        <w:t xml:space="preserve">a </w:t>
      </w:r>
      <w:r w:rsidR="00BC5E4F" w:rsidRPr="004E68ED">
        <w:t xml:space="preserve">thorough analysis of its </w:t>
      </w:r>
      <w:r w:rsidR="00BC5E4F" w:rsidRPr="004E68ED">
        <w:rPr>
          <w:lang w:eastAsia="fr-BE"/>
        </w:rPr>
        <w:t>impacts</w:t>
      </w:r>
      <w:r w:rsidR="00BC5E4F" w:rsidRPr="004E68ED">
        <w:t xml:space="preserve"> and benefits</w:t>
      </w:r>
      <w:r w:rsidR="00DF5A94" w:rsidRPr="004E68ED">
        <w:t>,</w:t>
      </w:r>
      <w:r w:rsidR="00BC5E4F" w:rsidRPr="004E68ED">
        <w:t xml:space="preserve"> coupled with concrete </w:t>
      </w:r>
      <w:r w:rsidR="00DF5A94" w:rsidRPr="004E68ED">
        <w:t xml:space="preserve">financing </w:t>
      </w:r>
      <w:r w:rsidR="00BC5E4F" w:rsidRPr="004E68ED">
        <w:t>plans</w:t>
      </w:r>
      <w:r w:rsidR="00DF5A94" w:rsidRPr="004E68ED">
        <w:t>,</w:t>
      </w:r>
      <w:r w:rsidR="00BC5E4F" w:rsidRPr="004E68ED">
        <w:t xml:space="preserve"> </w:t>
      </w:r>
      <w:r w:rsidRPr="004E68ED">
        <w:t>encompasses both mitigation and adaptation to climate change and forms the basis for a comprehensive and ambitious Climate Neutrality Pack</w:t>
      </w:r>
      <w:r w:rsidR="00A42997" w:rsidRPr="004E68ED">
        <w:t>age</w:t>
      </w:r>
      <w:r w:rsidRPr="004E68ED">
        <w:t>;</w:t>
      </w:r>
    </w:p>
    <w:p w14:paraId="21C5409A" w14:textId="318623FB" w:rsidR="00E973EA" w:rsidRPr="004E68ED" w:rsidRDefault="00E973EA">
      <w:pPr>
        <w:rPr>
          <w:lang w:val="en-GB"/>
        </w:rPr>
      </w:pPr>
    </w:p>
    <w:p w14:paraId="021F2077" w14:textId="61CB8C7F" w:rsidR="00E973EA" w:rsidRPr="004E68ED" w:rsidRDefault="00E973EA" w:rsidP="00D17AD0">
      <w:pPr>
        <w:pStyle w:val="Heading1"/>
      </w:pPr>
      <w:r w:rsidRPr="004E68ED">
        <w:rPr>
          <w:bCs/>
          <w:iCs/>
        </w:rPr>
        <w:t>highlights the importance of research and data collection on foreseen climatic variations and the need to boost interregional cooperation to act on the most vulnerable points to climate change;</w:t>
      </w:r>
    </w:p>
    <w:p w14:paraId="12C0B6DC" w14:textId="77777777" w:rsidR="00E973EA" w:rsidRPr="004E68ED" w:rsidRDefault="00E973EA">
      <w:pPr>
        <w:rPr>
          <w:lang w:val="en-GB"/>
        </w:rPr>
      </w:pPr>
    </w:p>
    <w:p w14:paraId="0D476AC9" w14:textId="7D2376FA" w:rsidR="009006D0" w:rsidRPr="004E68ED" w:rsidRDefault="009006D0">
      <w:pPr>
        <w:pStyle w:val="Heading1"/>
      </w:pPr>
      <w:r w:rsidRPr="004E68ED">
        <w:t xml:space="preserve">reiterates the call </w:t>
      </w:r>
      <w:r w:rsidR="00DF5A94" w:rsidRPr="004E68ED">
        <w:t xml:space="preserve">for </w:t>
      </w:r>
      <w:r w:rsidRPr="004E68ED">
        <w:t xml:space="preserve">EU institutions to ensure that climate adaptation and disaster resilience, as key aspects of </w:t>
      </w:r>
      <w:r w:rsidRPr="004E68ED">
        <w:rPr>
          <w:lang w:eastAsia="fr-BE"/>
        </w:rPr>
        <w:t>sustainable</w:t>
      </w:r>
      <w:r w:rsidRPr="004E68ED">
        <w:t xml:space="preserve"> development, are taken into account in future EU funds and projects, connecting them with cohesion, rural development, health, research and environmental policies as well</w:t>
      </w:r>
      <w:r w:rsidRPr="004E68ED">
        <w:rPr>
          <w:rStyle w:val="FootnoteReference"/>
        </w:rPr>
        <w:footnoteReference w:id="4"/>
      </w:r>
      <w:r w:rsidRPr="004E68ED">
        <w:t>;</w:t>
      </w:r>
    </w:p>
    <w:p w14:paraId="1498367F" w14:textId="118EB550" w:rsidR="00092ECB" w:rsidRPr="004E68ED" w:rsidRDefault="00092ECB">
      <w:pPr>
        <w:rPr>
          <w:lang w:val="en-GB"/>
        </w:rPr>
      </w:pPr>
    </w:p>
    <w:p w14:paraId="2ACE71C4" w14:textId="4CDFBCFF" w:rsidR="00E973EA" w:rsidRPr="004E68ED" w:rsidRDefault="00E973EA" w:rsidP="00D17AD0">
      <w:pPr>
        <w:pStyle w:val="Heading1"/>
      </w:pPr>
      <w:r w:rsidRPr="004E68ED">
        <w:rPr>
          <w:bCs/>
          <w:iCs/>
        </w:rPr>
        <w:t>calls on the EU to support local and regional authorities in protecting and restoring important natural carbon sinks in order to achieve climate neutrality, in particular by adapting the management of organic soils and restoring peat bogs and marshland;</w:t>
      </w:r>
    </w:p>
    <w:p w14:paraId="3A3F21E3" w14:textId="77777777" w:rsidR="00E973EA" w:rsidRPr="004E68ED" w:rsidRDefault="00E973EA">
      <w:pPr>
        <w:rPr>
          <w:lang w:val="en-GB"/>
        </w:rPr>
      </w:pPr>
    </w:p>
    <w:p w14:paraId="2E6F665A" w14:textId="66A17317" w:rsidR="00092ECB" w:rsidRPr="004E68ED" w:rsidRDefault="00092ECB">
      <w:pPr>
        <w:pStyle w:val="Heading1"/>
      </w:pPr>
      <w:r w:rsidRPr="004E68ED">
        <w:t xml:space="preserve">calls on the Commission to </w:t>
      </w:r>
      <w:r w:rsidR="00E03A53" w:rsidRPr="004E68ED">
        <w:t>propose</w:t>
      </w:r>
      <w:r w:rsidRPr="004E68ED">
        <w:t xml:space="preserve"> clear definitions and rules for local energy communities and other kinds of "prosumers" to provide</w:t>
      </w:r>
      <w:r w:rsidR="00E03A53" w:rsidRPr="004E68ED">
        <w:t xml:space="preserve"> them with certainty</w:t>
      </w:r>
      <w:r w:rsidR="00192190" w:rsidRPr="004E68ED">
        <w:t xml:space="preserve"> and </w:t>
      </w:r>
      <w:r w:rsidR="00E03A53" w:rsidRPr="004E68ED">
        <w:t>to ensure</w:t>
      </w:r>
      <w:r w:rsidRPr="004E68ED">
        <w:t xml:space="preserve"> access to </w:t>
      </w:r>
      <w:r w:rsidR="00E03A53" w:rsidRPr="004E68ED">
        <w:t xml:space="preserve">market, </w:t>
      </w:r>
      <w:r w:rsidRPr="004E68ED">
        <w:t>financial instruments and know-how</w:t>
      </w:r>
      <w:r w:rsidR="00E973EA" w:rsidRPr="004E68ED">
        <w:t xml:space="preserve"> and to foster collective self-consumption in private buildings</w:t>
      </w:r>
      <w:r w:rsidRPr="004E68ED">
        <w:t>;</w:t>
      </w:r>
    </w:p>
    <w:p w14:paraId="02B657BA" w14:textId="69FD6F3A" w:rsidR="006B6667" w:rsidRPr="004E68ED" w:rsidRDefault="006B6667">
      <w:pPr>
        <w:rPr>
          <w:lang w:val="en-GB"/>
        </w:rPr>
      </w:pPr>
    </w:p>
    <w:p w14:paraId="3AA0F2F7" w14:textId="320CA0CE" w:rsidR="00E973EA" w:rsidRPr="004E68ED" w:rsidRDefault="00E973EA" w:rsidP="00D17AD0">
      <w:pPr>
        <w:pStyle w:val="Heading1"/>
      </w:pPr>
      <w:r w:rsidRPr="004E68ED">
        <w:rPr>
          <w:bCs/>
          <w:iCs/>
        </w:rPr>
        <w:t>as for public buildings, calls for work to be pursued on energy efficiency and to progress towards its self-consumption; calls for fostering data collection on electricity and heat consumption and launching Artificial Intelligence strategies that contribute to saving energy;</w:t>
      </w:r>
    </w:p>
    <w:p w14:paraId="297BFF54" w14:textId="622F6CDF" w:rsidR="00E973EA" w:rsidRPr="004E68ED" w:rsidRDefault="00E973EA">
      <w:pPr>
        <w:rPr>
          <w:lang w:val="en-GB"/>
        </w:rPr>
      </w:pPr>
    </w:p>
    <w:p w14:paraId="50708C77" w14:textId="5C9EC868" w:rsidR="00C3058C" w:rsidRPr="004E68ED" w:rsidRDefault="00C3058C" w:rsidP="00D17AD0">
      <w:pPr>
        <w:pStyle w:val="Heading1"/>
      </w:pPr>
      <w:r w:rsidRPr="004E68ED">
        <w:rPr>
          <w:bCs/>
          <w:iCs/>
        </w:rPr>
        <w:t>calls on the European Commission to further support the development and deployment of sustainable renewable energy by providing a clear political and regulatory framework as well as appropriate support for research and development into innovative renewable energy technologies, including a roadmap for clean hydrogen;</w:t>
      </w:r>
    </w:p>
    <w:p w14:paraId="2E750B9B" w14:textId="77777777" w:rsidR="00C3058C" w:rsidRPr="004E68ED" w:rsidRDefault="00C3058C">
      <w:pPr>
        <w:rPr>
          <w:lang w:val="en-GB"/>
        </w:rPr>
      </w:pPr>
    </w:p>
    <w:p w14:paraId="2850238F" w14:textId="31ED3728" w:rsidR="006B6667" w:rsidRPr="004E68ED" w:rsidRDefault="006B6667">
      <w:pPr>
        <w:pStyle w:val="Heading1"/>
      </w:pPr>
      <w:r w:rsidRPr="004E68ED">
        <w:t>expects the Green Deal to</w:t>
      </w:r>
      <w:r w:rsidR="005C216F" w:rsidRPr="004E68ED">
        <w:t xml:space="preserve"> </w:t>
      </w:r>
      <w:r w:rsidR="00C3058C" w:rsidRPr="004E68ED">
        <w:t>include an EU Action Plan on Affordable Housing, which should also be consistent with increased efforts</w:t>
      </w:r>
      <w:r w:rsidR="005C216F" w:rsidRPr="004E68ED">
        <w:t xml:space="preserve"> to</w:t>
      </w:r>
      <w:r w:rsidRPr="004E68ED">
        <w:t xml:space="preserve"> </w:t>
      </w:r>
      <w:r w:rsidR="00E03A53" w:rsidRPr="004E68ED">
        <w:t xml:space="preserve">eradicate </w:t>
      </w:r>
      <w:r w:rsidRPr="004E68ED">
        <w:t>energy poverty</w:t>
      </w:r>
      <w:r w:rsidR="00C3058C" w:rsidRPr="004E68ED">
        <w:t>. In order for the transition to be just, measures must be foreseen to ensure that</w:t>
      </w:r>
      <w:r w:rsidRPr="004E68ED">
        <w:t xml:space="preserve"> </w:t>
      </w:r>
      <w:r w:rsidR="00E03A53" w:rsidRPr="004E68ED">
        <w:t xml:space="preserve">vulnerable </w:t>
      </w:r>
      <w:r w:rsidRPr="004E68ED">
        <w:t xml:space="preserve">people </w:t>
      </w:r>
      <w:r w:rsidR="00E03A53" w:rsidRPr="004E68ED">
        <w:t xml:space="preserve">can </w:t>
      </w:r>
      <w:r w:rsidRPr="004E68ED">
        <w:t xml:space="preserve">benefit from warmer, more energy-efficient homes that make use of renewable technologies such as solar energy; </w:t>
      </w:r>
    </w:p>
    <w:p w14:paraId="37B1F9D7" w14:textId="5750B47C" w:rsidR="00E973EA" w:rsidRPr="004E68ED" w:rsidRDefault="00E973EA" w:rsidP="00304502">
      <w:pPr>
        <w:rPr>
          <w:lang w:val="en-GB"/>
        </w:rPr>
      </w:pPr>
    </w:p>
    <w:p w14:paraId="4E28EEE9" w14:textId="205EE7D2" w:rsidR="00E973EA" w:rsidRPr="004E68ED" w:rsidRDefault="00C3058C" w:rsidP="00D17AD0">
      <w:pPr>
        <w:pStyle w:val="Heading1"/>
        <w:rPr>
          <w:bCs/>
          <w:iCs/>
        </w:rPr>
      </w:pPr>
      <w:r w:rsidRPr="004E68ED">
        <w:rPr>
          <w:bCs/>
          <w:iCs/>
        </w:rPr>
        <w:t>highlights that the energy consumption of buildings accounts for more than 40% of the overall energy consumption in the EU and therefore believes that housing modernisation could significantly contribute to the reduction of greenhouse gas emissions in Europe and to the eradication of energy poverty. In this respect calls on the Commission to propose an ambitious financing plan for housing renovations as part of the Green Deal package;</w:t>
      </w:r>
    </w:p>
    <w:p w14:paraId="73F0273F" w14:textId="77777777" w:rsidR="00C3058C" w:rsidRPr="004E68ED" w:rsidRDefault="00C3058C" w:rsidP="00304502">
      <w:pPr>
        <w:rPr>
          <w:lang w:val="en-GB"/>
        </w:rPr>
      </w:pPr>
    </w:p>
    <w:p w14:paraId="7739BE9A" w14:textId="77777777" w:rsidR="00111096" w:rsidRPr="004E68ED" w:rsidRDefault="00111096" w:rsidP="00304502">
      <w:pPr>
        <w:pStyle w:val="ListParagraph"/>
        <w:keepNext/>
        <w:widowControl/>
        <w:ind w:left="0"/>
        <w:rPr>
          <w:b/>
          <w:i/>
          <w:lang w:val="en-GB"/>
        </w:rPr>
      </w:pPr>
      <w:r w:rsidRPr="004E68ED">
        <w:rPr>
          <w:b/>
          <w:i/>
          <w:lang w:val="en-GB"/>
        </w:rPr>
        <w:t>Circular economy transition</w:t>
      </w:r>
    </w:p>
    <w:p w14:paraId="7D521DBE" w14:textId="77777777" w:rsidR="005B4D29" w:rsidRPr="004E68ED" w:rsidRDefault="005B4D29">
      <w:pPr>
        <w:keepNext/>
        <w:rPr>
          <w:b/>
          <w:i/>
          <w:lang w:val="en-GB"/>
        </w:rPr>
      </w:pPr>
    </w:p>
    <w:p w14:paraId="524BEF58" w14:textId="4B26E6BC" w:rsidR="00984A80" w:rsidRPr="004E68ED" w:rsidRDefault="00984A80">
      <w:pPr>
        <w:pStyle w:val="Heading1"/>
      </w:pPr>
      <w:r w:rsidRPr="004E68ED">
        <w:t>considers that a comprehensive, long-term strategy for Europe's industry is an essential element of achieving the goals of the Green Deal</w:t>
      </w:r>
      <w:r w:rsidR="00E41FAE" w:rsidRPr="004E68ED">
        <w:t>,</w:t>
      </w:r>
      <w:r w:rsidRPr="004E68ED">
        <w:t xml:space="preserve"> which will </w:t>
      </w:r>
      <w:r w:rsidR="00AB4081" w:rsidRPr="004E68ED">
        <w:t xml:space="preserve">drive innovation, </w:t>
      </w:r>
      <w:r w:rsidRPr="004E68ED">
        <w:t>provide competitive advantages and job</w:t>
      </w:r>
      <w:r w:rsidR="00E41FAE" w:rsidRPr="004E68ED">
        <w:t>-</w:t>
      </w:r>
      <w:r w:rsidRPr="004E68ED">
        <w:t>creation opportunities</w:t>
      </w:r>
      <w:r w:rsidR="00E41FAE" w:rsidRPr="004E68ED">
        <w:t>,</w:t>
      </w:r>
      <w:r w:rsidR="00BE5DB5" w:rsidRPr="004E68ED">
        <w:t xml:space="preserve"> especially for young people</w:t>
      </w:r>
      <w:r w:rsidRPr="004E68ED">
        <w:t xml:space="preserve">; </w:t>
      </w:r>
      <w:r w:rsidR="00C3058C" w:rsidRPr="004E68ED">
        <w:rPr>
          <w:bCs/>
          <w:iCs/>
        </w:rPr>
        <w:t>in this context, it is essential to ensure that energy-intensive industries are supported in the transition to low carbon production methods in order limit distortions to competition and avoid carbon leakage, notably by EU funding for relevant research and development of practical solutions;</w:t>
      </w:r>
    </w:p>
    <w:p w14:paraId="4629DD68" w14:textId="77777777" w:rsidR="00984A80" w:rsidRPr="004E68ED" w:rsidRDefault="00984A80">
      <w:pPr>
        <w:rPr>
          <w:lang w:val="en-GB"/>
        </w:rPr>
      </w:pPr>
    </w:p>
    <w:p w14:paraId="4F1FC1D6" w14:textId="5EBA1DDE" w:rsidR="00F11EBC" w:rsidRPr="004E68ED" w:rsidRDefault="0007364D">
      <w:pPr>
        <w:pStyle w:val="Heading1"/>
      </w:pPr>
      <w:r w:rsidRPr="004E68ED">
        <w:t xml:space="preserve">calls </w:t>
      </w:r>
      <w:r w:rsidR="00E03A53" w:rsidRPr="004E68ED">
        <w:t>for</w:t>
      </w:r>
      <w:r w:rsidR="00984A80" w:rsidRPr="004E68ED">
        <w:t xml:space="preserve"> </w:t>
      </w:r>
      <w:r w:rsidR="00E41FAE" w:rsidRPr="004E68ED">
        <w:t xml:space="preserve">a </w:t>
      </w:r>
      <w:r w:rsidR="00984A80" w:rsidRPr="004E68ED">
        <w:rPr>
          <w:lang w:eastAsia="fr-BE"/>
        </w:rPr>
        <w:t>new</w:t>
      </w:r>
      <w:r w:rsidR="00984A80" w:rsidRPr="004E68ED">
        <w:t xml:space="preserve"> ambitious, time-bound, science-driven post-2020 Circular Economy Action Plan and looks forward to working closely with the European Commission on these proposals; </w:t>
      </w:r>
    </w:p>
    <w:p w14:paraId="105C0D88" w14:textId="77777777" w:rsidR="00F11EBC" w:rsidRPr="004E68ED" w:rsidRDefault="00F11EBC">
      <w:pPr>
        <w:rPr>
          <w:lang w:val="en-GB"/>
        </w:rPr>
      </w:pPr>
    </w:p>
    <w:p w14:paraId="367FC544" w14:textId="4161EF9A" w:rsidR="006015B9" w:rsidRPr="004E68ED" w:rsidRDefault="000F260D">
      <w:pPr>
        <w:pStyle w:val="Heading1"/>
      </w:pPr>
      <w:r w:rsidRPr="004E68ED">
        <w:t>points out that prevention should be the first priority</w:t>
      </w:r>
      <w:r w:rsidR="00E558D2" w:rsidRPr="004E68ED">
        <w:t>,</w:t>
      </w:r>
      <w:r w:rsidRPr="004E68ED">
        <w:t xml:space="preserve"> in line with the EU waste hierarchy, calls for ambitious measures including</w:t>
      </w:r>
      <w:r w:rsidR="007606E6" w:rsidRPr="004E68ED">
        <w:t xml:space="preserve"> </w:t>
      </w:r>
      <w:r w:rsidR="00E558D2" w:rsidRPr="004E68ED">
        <w:t xml:space="preserve">the </w:t>
      </w:r>
      <w:r w:rsidRPr="004E68ED">
        <w:t>eco-design of goods and services, preventing waste, recycling, recovering and reusing materials and components and reducing harmful substances</w:t>
      </w:r>
      <w:r w:rsidR="00EB7A80" w:rsidRPr="004E68ED">
        <w:t>,</w:t>
      </w:r>
      <w:r w:rsidRPr="004E68ED">
        <w:t xml:space="preserve"> a</w:t>
      </w:r>
      <w:r w:rsidR="0050169E" w:rsidRPr="004E68ED">
        <w:t>s well as</w:t>
      </w:r>
      <w:r w:rsidRPr="004E68ED">
        <w:t xml:space="preserve"> reprocessing difficult substances in order to promote repairability, recyclability, upgradability and durability.</w:t>
      </w:r>
      <w:r w:rsidR="00E2341B" w:rsidRPr="004E68ED">
        <w:t xml:space="preserve"> </w:t>
      </w:r>
      <w:r w:rsidR="004673FC" w:rsidRPr="004E68ED">
        <w:t>In this context, encourages</w:t>
      </w:r>
      <w:r w:rsidR="00E2341B" w:rsidRPr="004E68ED">
        <w:t xml:space="preserve"> local and regional authorities </w:t>
      </w:r>
      <w:r w:rsidR="004673FC" w:rsidRPr="004E68ED">
        <w:t>to employ multiply instruments</w:t>
      </w:r>
      <w:r w:rsidR="00EB7A80" w:rsidRPr="004E68ED">
        <w:t>,</w:t>
      </w:r>
      <w:r w:rsidR="004673FC" w:rsidRPr="004E68ED">
        <w:t xml:space="preserve"> </w:t>
      </w:r>
      <w:r w:rsidR="00E2341B" w:rsidRPr="004E68ED">
        <w:t>including localising EU binding targets, fiscal measures at all levels, Extended Producer Responsibili</w:t>
      </w:r>
      <w:r w:rsidR="004673FC" w:rsidRPr="004E68ED">
        <w:t>ty and Green Public Procurement</w:t>
      </w:r>
      <w:r w:rsidR="00E2341B" w:rsidRPr="004E68ED">
        <w:t xml:space="preserve"> with compulsory targets as part of every EU funding opportunity</w:t>
      </w:r>
      <w:r w:rsidR="004673FC" w:rsidRPr="004E68ED">
        <w:t>;</w:t>
      </w:r>
    </w:p>
    <w:p w14:paraId="5EBF97A5" w14:textId="77777777" w:rsidR="006015B9" w:rsidRPr="004E68ED" w:rsidRDefault="006015B9">
      <w:pPr>
        <w:rPr>
          <w:lang w:val="en-GB"/>
        </w:rPr>
      </w:pPr>
    </w:p>
    <w:p w14:paraId="77297BE4" w14:textId="0A4FEA98" w:rsidR="00984A80" w:rsidRPr="004E68ED" w:rsidRDefault="00F11EBC">
      <w:pPr>
        <w:pStyle w:val="Heading1"/>
      </w:pPr>
      <w:r w:rsidRPr="004E68ED">
        <w:t xml:space="preserve">calls </w:t>
      </w:r>
      <w:r w:rsidR="00E56A24" w:rsidRPr="004E68ED">
        <w:t>on the European Commission to propose an ambitious target for the</w:t>
      </w:r>
      <w:r w:rsidRPr="004E68ED">
        <w:t xml:space="preserve"> reduction of municipal waste </w:t>
      </w:r>
      <w:r w:rsidR="00E56A24" w:rsidRPr="004E68ED">
        <w:t xml:space="preserve">by </w:t>
      </w:r>
      <w:r w:rsidRPr="004E68ED">
        <w:t>2030, for the re-use and recycling target</w:t>
      </w:r>
      <w:r w:rsidR="00D61384" w:rsidRPr="004E68ED">
        <w:t>s</w:t>
      </w:r>
      <w:r w:rsidRPr="004E68ED">
        <w:t xml:space="preserve"> for municipal waste to be 70% by weight by 2030</w:t>
      </w:r>
      <w:r w:rsidR="00712887" w:rsidRPr="004E68ED">
        <w:t xml:space="preserve">, </w:t>
      </w:r>
      <w:r w:rsidR="00EB7A80" w:rsidRPr="004E68ED">
        <w:t>for</w:t>
      </w:r>
      <w:r w:rsidRPr="004E68ED">
        <w:t xml:space="preserve"> food waste</w:t>
      </w:r>
      <w:r w:rsidR="00EB7A80" w:rsidRPr="004E68ED">
        <w:t xml:space="preserve"> to be reduced</w:t>
      </w:r>
      <w:r w:rsidRPr="004E68ED">
        <w:t xml:space="preserve"> by 50% by 2030</w:t>
      </w:r>
      <w:r w:rsidR="00712887" w:rsidRPr="004E68ED">
        <w:t xml:space="preserve"> and</w:t>
      </w:r>
      <w:r w:rsidR="00EB7A80" w:rsidRPr="004E68ED">
        <w:t xml:space="preserve"> </w:t>
      </w:r>
      <w:r w:rsidR="006A30BA" w:rsidRPr="004E68ED">
        <w:t xml:space="preserve">for </w:t>
      </w:r>
      <w:r w:rsidR="00E56A24" w:rsidRPr="004E68ED">
        <w:t>a binding</w:t>
      </w:r>
      <w:r w:rsidR="006A30BA" w:rsidRPr="004E68ED">
        <w:t xml:space="preserve"> target of a maximum of 5% landfi</w:t>
      </w:r>
      <w:r w:rsidR="00E56A24" w:rsidRPr="004E68ED">
        <w:t>lling of residual waste by 2030;</w:t>
      </w:r>
    </w:p>
    <w:p w14:paraId="0D82C9B3" w14:textId="77777777" w:rsidR="006015B9" w:rsidRPr="004E68ED" w:rsidRDefault="006015B9">
      <w:pPr>
        <w:rPr>
          <w:lang w:val="en-GB"/>
        </w:rPr>
      </w:pPr>
    </w:p>
    <w:p w14:paraId="6D8092D8" w14:textId="6787E3AA" w:rsidR="0003532F" w:rsidRPr="004E68ED" w:rsidRDefault="00984A80">
      <w:pPr>
        <w:pStyle w:val="Heading1"/>
      </w:pPr>
      <w:r w:rsidRPr="004E68ED">
        <w:t>s</w:t>
      </w:r>
      <w:r w:rsidR="0003532F" w:rsidRPr="004E68ED">
        <w:t xml:space="preserve">upports </w:t>
      </w:r>
      <w:r w:rsidR="00E25DDA" w:rsidRPr="004E68ED">
        <w:t xml:space="preserve">also </w:t>
      </w:r>
      <w:r w:rsidR="0003532F" w:rsidRPr="004E68ED">
        <w:t>in this context the new efforts</w:t>
      </w:r>
      <w:r w:rsidRPr="004E68ED">
        <w:t xml:space="preserve"> in the field of microplastics</w:t>
      </w:r>
      <w:r w:rsidR="00F35B3B" w:rsidRPr="004E68ED">
        <w:t xml:space="preserve"> </w:t>
      </w:r>
      <w:r w:rsidR="0003532F" w:rsidRPr="004E68ED">
        <w:t xml:space="preserve">and </w:t>
      </w:r>
      <w:r w:rsidR="00F40952" w:rsidRPr="004E68ED">
        <w:t>those to implement</w:t>
      </w:r>
      <w:r w:rsidR="00196ECE" w:rsidRPr="004E68ED">
        <w:t xml:space="preserve"> the legislation </w:t>
      </w:r>
      <w:r w:rsidR="00196ECE" w:rsidRPr="004E68ED">
        <w:rPr>
          <w:lang w:eastAsia="fr-BE"/>
        </w:rPr>
        <w:t>on</w:t>
      </w:r>
      <w:r w:rsidR="00196ECE" w:rsidRPr="004E68ED">
        <w:t xml:space="preserve"> plastics</w:t>
      </w:r>
      <w:r w:rsidR="00196ECE" w:rsidRPr="004E68ED">
        <w:rPr>
          <w:rStyle w:val="FootnoteReference"/>
        </w:rPr>
        <w:footnoteReference w:id="5"/>
      </w:r>
      <w:r w:rsidR="00F40952" w:rsidRPr="004E68ED">
        <w:t>,</w:t>
      </w:r>
      <w:r w:rsidR="00196ECE" w:rsidRPr="004E68ED">
        <w:t xml:space="preserve"> </w:t>
      </w:r>
      <w:r w:rsidRPr="004E68ED">
        <w:t>underlining that plastic</w:t>
      </w:r>
      <w:r w:rsidR="00F40952" w:rsidRPr="004E68ED">
        <w:t>s</w:t>
      </w:r>
      <w:r w:rsidRPr="004E68ED">
        <w:t xml:space="preserve"> pollution should be addressed at sourc</w:t>
      </w:r>
      <w:r w:rsidR="00EA1C46" w:rsidRPr="004E68ED">
        <w:t>e</w:t>
      </w:r>
      <w:r w:rsidRPr="004E68ED">
        <w:t>;</w:t>
      </w:r>
    </w:p>
    <w:p w14:paraId="07F3DB73" w14:textId="77777777" w:rsidR="00BB3A49" w:rsidRPr="004E68ED" w:rsidRDefault="00BB3A49">
      <w:pPr>
        <w:rPr>
          <w:lang w:val="en-GB"/>
        </w:rPr>
      </w:pPr>
    </w:p>
    <w:p w14:paraId="31367111" w14:textId="77777777" w:rsidR="0030729F" w:rsidRPr="004E68ED" w:rsidRDefault="00196ECE">
      <w:pPr>
        <w:pStyle w:val="Heading1"/>
      </w:pPr>
      <w:r w:rsidRPr="004E68ED">
        <w:t xml:space="preserve">asks the </w:t>
      </w:r>
      <w:r w:rsidRPr="004E68ED">
        <w:rPr>
          <w:lang w:eastAsia="fr-BE"/>
        </w:rPr>
        <w:t>Commission</w:t>
      </w:r>
      <w:r w:rsidRPr="004E68ED">
        <w:t xml:space="preserve"> to </w:t>
      </w:r>
      <w:r w:rsidR="00967537" w:rsidRPr="004E68ED">
        <w:t xml:space="preserve">encourage </w:t>
      </w:r>
      <w:r w:rsidR="00BB3A49" w:rsidRPr="004E68ED">
        <w:t xml:space="preserve">all European regions </w:t>
      </w:r>
      <w:r w:rsidR="0004700A" w:rsidRPr="004E68ED">
        <w:t xml:space="preserve">and cities </w:t>
      </w:r>
      <w:r w:rsidR="00BB3A49" w:rsidRPr="004E68ED">
        <w:t xml:space="preserve">to adopt bioeconomy action plans or to provide for a chapter dedicated to the bioeconomy in their global development strategy; </w:t>
      </w:r>
    </w:p>
    <w:p w14:paraId="109C6C0D" w14:textId="77777777" w:rsidR="00AD097F" w:rsidRPr="004E68ED" w:rsidRDefault="00AD097F">
      <w:pPr>
        <w:rPr>
          <w:lang w:val="en-GB"/>
        </w:rPr>
      </w:pPr>
    </w:p>
    <w:p w14:paraId="5BE9DE27" w14:textId="77777777" w:rsidR="009A47FF" w:rsidRPr="004E68ED" w:rsidRDefault="00111096" w:rsidP="00304502">
      <w:pPr>
        <w:pStyle w:val="ListParagraph"/>
        <w:keepNext/>
        <w:widowControl/>
        <w:ind w:left="0"/>
        <w:rPr>
          <w:b/>
          <w:i/>
          <w:lang w:val="en-GB"/>
        </w:rPr>
      </w:pPr>
      <w:r w:rsidRPr="004E68ED">
        <w:rPr>
          <w:b/>
          <w:i/>
          <w:lang w:val="en-GB"/>
        </w:rPr>
        <w:t>Food transition</w:t>
      </w:r>
    </w:p>
    <w:p w14:paraId="35FC572F" w14:textId="3B3EAE17" w:rsidR="009A47FF" w:rsidRPr="004E68ED" w:rsidRDefault="009A47FF">
      <w:pPr>
        <w:keepNext/>
        <w:rPr>
          <w:b/>
          <w:i/>
          <w:lang w:val="en-GB"/>
        </w:rPr>
      </w:pPr>
    </w:p>
    <w:p w14:paraId="6EA98617" w14:textId="7527F426" w:rsidR="00C3058C" w:rsidRPr="004E68ED" w:rsidRDefault="00C3058C" w:rsidP="00D17AD0">
      <w:pPr>
        <w:pStyle w:val="Heading1"/>
        <w:rPr>
          <w:b/>
          <w:i/>
        </w:rPr>
      </w:pPr>
      <w:r w:rsidRPr="004E68ED">
        <w:t>against</w:t>
      </w:r>
      <w:r w:rsidRPr="004E68ED">
        <w:rPr>
          <w:bCs/>
          <w:iCs/>
        </w:rPr>
        <w:t xml:space="preserve"> the background of the fact that the EU has become the world's largest importer and exporter of food, insists that trade agreements are assessed against the objective of reducing greenhouse gas emissions, including in the agro-food sector, and that trade agreements are based on sustainable development;</w:t>
      </w:r>
    </w:p>
    <w:p w14:paraId="3698E79D" w14:textId="77777777" w:rsidR="00C3058C" w:rsidRPr="004E68ED" w:rsidRDefault="00C3058C">
      <w:pPr>
        <w:keepNext/>
        <w:rPr>
          <w:b/>
          <w:i/>
          <w:lang w:val="en-GB"/>
        </w:rPr>
      </w:pPr>
    </w:p>
    <w:p w14:paraId="2CA977D3" w14:textId="1E820CC3" w:rsidR="0018427B" w:rsidRPr="004E68ED" w:rsidRDefault="00196ECE">
      <w:pPr>
        <w:pStyle w:val="Heading1"/>
      </w:pPr>
      <w:r w:rsidRPr="004E68ED">
        <w:t xml:space="preserve">considering that agriculture is responsible for 10% of GHG emissions and is directly affected by climate change, </w:t>
      </w:r>
      <w:r w:rsidR="00DA2A20" w:rsidRPr="004E68ED">
        <w:rPr>
          <w:lang w:eastAsia="fr-BE"/>
        </w:rPr>
        <w:t>calls on</w:t>
      </w:r>
      <w:r w:rsidR="00DA2A20" w:rsidRPr="004E68ED">
        <w:t xml:space="preserve"> </w:t>
      </w:r>
      <w:r w:rsidR="003B0A99" w:rsidRPr="004E68ED">
        <w:t xml:space="preserve">the Commission to </w:t>
      </w:r>
      <w:r w:rsidR="0018427B" w:rsidRPr="004E68ED">
        <w:t xml:space="preserve">promote sustainable farming </w:t>
      </w:r>
      <w:r w:rsidRPr="004E68ED">
        <w:t>through</w:t>
      </w:r>
      <w:r w:rsidR="0018427B" w:rsidRPr="004E68ED">
        <w:t xml:space="preserve"> </w:t>
      </w:r>
      <w:r w:rsidR="00497BF3" w:rsidRPr="004E68ED">
        <w:t>strengthening</w:t>
      </w:r>
      <w:r w:rsidR="00D078CF" w:rsidRPr="004E68ED">
        <w:t xml:space="preserve"> </w:t>
      </w:r>
      <w:r w:rsidR="0018427B" w:rsidRPr="004E68ED">
        <w:t>financial aid for environment- and climate-friendly practices</w:t>
      </w:r>
      <w:r w:rsidR="0004700A" w:rsidRPr="004E68ED">
        <w:t xml:space="preserve"> in both pillars of the </w:t>
      </w:r>
      <w:r w:rsidR="005C216F" w:rsidRPr="004E68ED">
        <w:t>Common Agriculture Policy (</w:t>
      </w:r>
      <w:r w:rsidR="0004700A" w:rsidRPr="004E68ED">
        <w:t>CAP</w:t>
      </w:r>
      <w:r w:rsidR="005C216F" w:rsidRPr="004E68ED">
        <w:t>)</w:t>
      </w:r>
      <w:r w:rsidR="0018427B" w:rsidRPr="004E68ED">
        <w:t>;</w:t>
      </w:r>
    </w:p>
    <w:p w14:paraId="7C6693A5" w14:textId="77777777" w:rsidR="009A47FF" w:rsidRPr="004E68ED" w:rsidRDefault="009A47FF">
      <w:pPr>
        <w:rPr>
          <w:lang w:val="en-GB"/>
        </w:rPr>
      </w:pPr>
    </w:p>
    <w:p w14:paraId="063B116A" w14:textId="1A28231C" w:rsidR="00286E5F" w:rsidRPr="004E68ED" w:rsidRDefault="009A47FF">
      <w:pPr>
        <w:pStyle w:val="Heading1"/>
      </w:pPr>
      <w:r w:rsidRPr="004E68ED">
        <w:t xml:space="preserve">suggests a local </w:t>
      </w:r>
      <w:r w:rsidRPr="004E68ED">
        <w:rPr>
          <w:lang w:eastAsia="fr-BE"/>
        </w:rPr>
        <w:t>and</w:t>
      </w:r>
      <w:r w:rsidRPr="004E68ED">
        <w:t xml:space="preserve"> regional chapter on the "Farm to Fork" strategy</w:t>
      </w:r>
      <w:r w:rsidR="00102F6B" w:rsidRPr="004E68ED">
        <w:t>,</w:t>
      </w:r>
      <w:r w:rsidR="005E3679" w:rsidRPr="004E68ED">
        <w:t xml:space="preserve"> particularly important in small economy models,</w:t>
      </w:r>
      <w:r w:rsidRPr="004E68ED">
        <w:t xml:space="preserve"> to assess the effects of international and global food production patterns on local and regional production schemes;</w:t>
      </w:r>
      <w:r w:rsidR="00286E5F" w:rsidRPr="004E68ED">
        <w:t xml:space="preserve"> </w:t>
      </w:r>
    </w:p>
    <w:p w14:paraId="2317B559" w14:textId="77777777" w:rsidR="00286E5F" w:rsidRPr="004E68ED" w:rsidRDefault="00286E5F">
      <w:pPr>
        <w:rPr>
          <w:lang w:val="en-GB"/>
        </w:rPr>
      </w:pPr>
    </w:p>
    <w:p w14:paraId="5F94E6C1" w14:textId="1A409C4D" w:rsidR="009A47FF" w:rsidRPr="004E68ED" w:rsidRDefault="00286E5F">
      <w:pPr>
        <w:pStyle w:val="Heading1"/>
      </w:pPr>
      <w:r w:rsidRPr="004E68ED">
        <w:t xml:space="preserve">highlights the </w:t>
      </w:r>
      <w:r w:rsidRPr="004E68ED">
        <w:rPr>
          <w:lang w:eastAsia="fr-BE"/>
        </w:rPr>
        <w:t>crucial</w:t>
      </w:r>
      <w:r w:rsidRPr="004E68ED">
        <w:t xml:space="preserve"> role EU forests </w:t>
      </w:r>
      <w:r w:rsidR="006059A0" w:rsidRPr="004E68ED">
        <w:t xml:space="preserve">and peatlands </w:t>
      </w:r>
      <w:r w:rsidRPr="004E68ED">
        <w:t xml:space="preserve">have in achieving climate neutrality. It calls for a solid EU strategy for forests </w:t>
      </w:r>
      <w:r w:rsidR="006059A0" w:rsidRPr="004E68ED">
        <w:t xml:space="preserve">and peatlands </w:t>
      </w:r>
      <w:r w:rsidRPr="004E68ED">
        <w:t xml:space="preserve">and supports ambitious labelling schemes for food being produced </w:t>
      </w:r>
      <w:r w:rsidR="006059A0" w:rsidRPr="004E68ED">
        <w:t xml:space="preserve">without </w:t>
      </w:r>
      <w:r w:rsidRPr="004E68ED">
        <w:t>deforestation</w:t>
      </w:r>
      <w:r w:rsidRPr="004E68ED">
        <w:rPr>
          <w:rStyle w:val="FootnoteReference"/>
        </w:rPr>
        <w:footnoteReference w:id="6"/>
      </w:r>
      <w:r w:rsidR="00967537" w:rsidRPr="004E68ED">
        <w:t>. R</w:t>
      </w:r>
      <w:r w:rsidRPr="004E68ED">
        <w:t>ecalls, in this respect, Member States</w:t>
      </w:r>
      <w:r w:rsidR="00102F6B" w:rsidRPr="004E68ED">
        <w:t>'</w:t>
      </w:r>
      <w:r w:rsidRPr="004E68ED">
        <w:t xml:space="preserve"> commitments under the LULUCF Regulation and acknowledges the efforts to achieve enhanced CO</w:t>
      </w:r>
      <w:r w:rsidRPr="004E68ED">
        <w:rPr>
          <w:vertAlign w:val="subscript"/>
        </w:rPr>
        <w:t>2</w:t>
      </w:r>
      <w:r w:rsidRPr="004E68ED">
        <w:t xml:space="preserve"> removals;</w:t>
      </w:r>
    </w:p>
    <w:p w14:paraId="436BE59E" w14:textId="139272A4" w:rsidR="00286E5F" w:rsidRPr="004E68ED" w:rsidRDefault="00286E5F">
      <w:pPr>
        <w:rPr>
          <w:lang w:val="en-GB" w:eastAsia="fr-FR"/>
        </w:rPr>
      </w:pPr>
    </w:p>
    <w:p w14:paraId="7444C296" w14:textId="3B96C874" w:rsidR="0012176B" w:rsidRPr="004E68ED" w:rsidRDefault="0012176B" w:rsidP="00D17AD0">
      <w:pPr>
        <w:pStyle w:val="Heading1"/>
        <w:rPr>
          <w:lang w:eastAsia="fr-FR"/>
        </w:rPr>
      </w:pPr>
      <w:r w:rsidRPr="004E68ED">
        <w:t>points</w:t>
      </w:r>
      <w:r w:rsidRPr="004E68ED">
        <w:rPr>
          <w:bCs/>
          <w:iCs/>
        </w:rPr>
        <w:t xml:space="preserve"> out that the oceans make a significant contribution to our food supply; calls for a new strategy supporting marine crops and blue biotechnologies which avoids harming the environment and safeguards natural environments; stresses that sustainable fisheries play a key role in the equilibrium of coastal areas;</w:t>
      </w:r>
    </w:p>
    <w:p w14:paraId="7B68DD63" w14:textId="77777777" w:rsidR="0012176B" w:rsidRPr="004E68ED" w:rsidRDefault="0012176B">
      <w:pPr>
        <w:rPr>
          <w:lang w:val="en-GB" w:eastAsia="fr-FR"/>
        </w:rPr>
      </w:pPr>
    </w:p>
    <w:p w14:paraId="1D54C56D" w14:textId="33A69007" w:rsidR="005B4D29" w:rsidRPr="004E68ED" w:rsidRDefault="00196ECE">
      <w:pPr>
        <w:pStyle w:val="Heading1"/>
        <w:rPr>
          <w:lang w:eastAsia="fr-FR"/>
        </w:rPr>
      </w:pPr>
      <w:r w:rsidRPr="004E68ED">
        <w:t>s</w:t>
      </w:r>
      <w:r w:rsidR="00F203C3" w:rsidRPr="004E68ED">
        <w:t>tresses that LRAs</w:t>
      </w:r>
      <w:r w:rsidR="005B4D29" w:rsidRPr="004E68ED">
        <w:t xml:space="preserve"> need </w:t>
      </w:r>
      <w:r w:rsidR="00967537" w:rsidRPr="004E68ED">
        <w:t xml:space="preserve">a </w:t>
      </w:r>
      <w:r w:rsidR="005B4D29" w:rsidRPr="004E68ED">
        <w:t xml:space="preserve">standardised methodology for collecting and reporting data on the environmental </w:t>
      </w:r>
      <w:r w:rsidR="005B4D29" w:rsidRPr="004E68ED">
        <w:rPr>
          <w:lang w:eastAsia="fr-BE"/>
        </w:rPr>
        <w:t>impact</w:t>
      </w:r>
      <w:r w:rsidR="005B4D29" w:rsidRPr="004E68ED">
        <w:t xml:space="preserve"> of food products, including food waste, to ensure data comparability across Member States and </w:t>
      </w:r>
      <w:r w:rsidR="00102F6B" w:rsidRPr="004E68ED">
        <w:t xml:space="preserve">to </w:t>
      </w:r>
      <w:r w:rsidR="005B4D29" w:rsidRPr="004E68ED">
        <w:t>encourage environmental and social costs associated with food products or diets t</w:t>
      </w:r>
      <w:r w:rsidR="003B0A99" w:rsidRPr="004E68ED">
        <w:t>o be measured in economic terms;</w:t>
      </w:r>
    </w:p>
    <w:p w14:paraId="5826B712" w14:textId="77777777" w:rsidR="005B4D29" w:rsidRPr="004E68ED" w:rsidRDefault="005B4D29" w:rsidP="00304502">
      <w:pPr>
        <w:rPr>
          <w:lang w:val="en-GB"/>
        </w:rPr>
      </w:pPr>
    </w:p>
    <w:p w14:paraId="604A0A86" w14:textId="77777777" w:rsidR="00111096" w:rsidRPr="004E68ED" w:rsidRDefault="00111096">
      <w:pPr>
        <w:pStyle w:val="ListParagraph"/>
        <w:keepNext/>
        <w:widowControl/>
        <w:ind w:left="0"/>
        <w:rPr>
          <w:b/>
          <w:i/>
          <w:lang w:val="en-GB"/>
        </w:rPr>
      </w:pPr>
      <w:r w:rsidRPr="004E68ED">
        <w:rPr>
          <w:b/>
          <w:i/>
          <w:lang w:val="en-GB"/>
        </w:rPr>
        <w:t>Mobility transition</w:t>
      </w:r>
    </w:p>
    <w:p w14:paraId="1382A07B" w14:textId="77777777" w:rsidR="009A47FF" w:rsidRPr="004E68ED" w:rsidRDefault="009A47FF" w:rsidP="00304502">
      <w:pPr>
        <w:keepNext/>
        <w:rPr>
          <w:lang w:val="en-GB"/>
        </w:rPr>
      </w:pPr>
    </w:p>
    <w:p w14:paraId="15535472" w14:textId="78A8F9BB" w:rsidR="005B4D29" w:rsidRPr="004E68ED" w:rsidRDefault="007125CB">
      <w:pPr>
        <w:pStyle w:val="Heading1"/>
      </w:pPr>
      <w:r w:rsidRPr="004E68ED">
        <w:t xml:space="preserve">notes </w:t>
      </w:r>
      <w:r w:rsidR="00A571A7" w:rsidRPr="004E68ED">
        <w:t>that LRAs are key enablers of clean mobility</w:t>
      </w:r>
      <w:r w:rsidR="002E0BC0" w:rsidRPr="004E68ED">
        <w:t xml:space="preserve"> </w:t>
      </w:r>
      <w:r w:rsidR="00A571A7" w:rsidRPr="004E68ED">
        <w:t>and for the greening of transport</w:t>
      </w:r>
      <w:r w:rsidR="00286E5F" w:rsidRPr="004E68ED">
        <w:t>,</w:t>
      </w:r>
      <w:r w:rsidR="00A571A7" w:rsidRPr="004E68ED">
        <w:t xml:space="preserve"> </w:t>
      </w:r>
      <w:r w:rsidR="009E27E4" w:rsidRPr="004E68ED">
        <w:t xml:space="preserve">and therefore </w:t>
      </w:r>
      <w:r w:rsidR="005B4D29" w:rsidRPr="004E68ED">
        <w:t xml:space="preserve">calls urgently for measures at EU level </w:t>
      </w:r>
      <w:r w:rsidR="009E27E4" w:rsidRPr="004E68ED">
        <w:t xml:space="preserve">for the </w:t>
      </w:r>
      <w:r w:rsidR="005B4D29" w:rsidRPr="004E68ED">
        <w:t xml:space="preserve">internalisation of external costs by transport mode to ensure a more level playing field, including the review of tax </w:t>
      </w:r>
      <w:r w:rsidR="009E27E4" w:rsidRPr="004E68ED">
        <w:t>arrangements for</w:t>
      </w:r>
      <w:r w:rsidR="005B4D29" w:rsidRPr="004E68ED">
        <w:t xml:space="preserve"> certain transport fuels in particular;</w:t>
      </w:r>
    </w:p>
    <w:p w14:paraId="38DB5103" w14:textId="77777777" w:rsidR="000C1437" w:rsidRPr="004E68ED" w:rsidRDefault="000C1437">
      <w:pPr>
        <w:rPr>
          <w:lang w:val="en-GB"/>
        </w:rPr>
      </w:pPr>
    </w:p>
    <w:p w14:paraId="50BFB163" w14:textId="77777777" w:rsidR="000C1437" w:rsidRPr="004E68ED" w:rsidRDefault="000C1437">
      <w:pPr>
        <w:pStyle w:val="Heading1"/>
      </w:pPr>
      <w:r w:rsidRPr="004E68ED">
        <w:t xml:space="preserve">points out that power grids, electricity storage, trade, and the management of public infrastructure will all need to be </w:t>
      </w:r>
      <w:r w:rsidRPr="004E68ED">
        <w:rPr>
          <w:lang w:eastAsia="fr-BE"/>
        </w:rPr>
        <w:t>modernised</w:t>
      </w:r>
      <w:r w:rsidRPr="004E68ED">
        <w:t>, along with transport rules and taxation, to be properly equipped for new and innovative transportation modes, includin</w:t>
      </w:r>
      <w:r w:rsidR="00286E5F" w:rsidRPr="004E68ED">
        <w:t>g battery or hydrogen fuel cell</w:t>
      </w:r>
      <w:r w:rsidRPr="004E68ED">
        <w:t>;</w:t>
      </w:r>
    </w:p>
    <w:p w14:paraId="6504FFE0" w14:textId="77777777" w:rsidR="00111096" w:rsidRPr="004E68ED" w:rsidRDefault="00111096">
      <w:pPr>
        <w:rPr>
          <w:lang w:val="en-GB"/>
        </w:rPr>
      </w:pPr>
    </w:p>
    <w:p w14:paraId="0BD91735" w14:textId="2D771E80" w:rsidR="00111096" w:rsidRPr="004E68ED" w:rsidRDefault="00111096">
      <w:pPr>
        <w:pStyle w:val="Heading1"/>
        <w:rPr>
          <w:lang w:eastAsia="fr-FR"/>
        </w:rPr>
      </w:pPr>
      <w:r w:rsidRPr="004E68ED">
        <w:t xml:space="preserve">emphasises that harnessing the potential of digital technologies will </w:t>
      </w:r>
      <w:r w:rsidR="00BF3905" w:rsidRPr="004E68ED">
        <w:t xml:space="preserve">make it </w:t>
      </w:r>
      <w:r w:rsidRPr="004E68ED">
        <w:t xml:space="preserve">possible to optimise transportation and </w:t>
      </w:r>
      <w:r w:rsidRPr="004E68ED">
        <w:rPr>
          <w:lang w:eastAsia="fr-BE"/>
        </w:rPr>
        <w:t>set</w:t>
      </w:r>
      <w:r w:rsidRPr="004E68ED">
        <w:t xml:space="preserve"> up a multimodal trans-European transport (TEN-T) network. The prerequisites are intelligent transport systems (ITSs) and infrastructure</w:t>
      </w:r>
      <w:r w:rsidR="0079199B" w:rsidRPr="004E68ED">
        <w:t>;</w:t>
      </w:r>
    </w:p>
    <w:p w14:paraId="225C1623" w14:textId="77777777" w:rsidR="00111096" w:rsidRPr="004E68ED" w:rsidRDefault="00111096">
      <w:pPr>
        <w:rPr>
          <w:lang w:val="en-GB"/>
        </w:rPr>
      </w:pPr>
    </w:p>
    <w:p w14:paraId="41C9F3F0" w14:textId="77777777" w:rsidR="00286E5F" w:rsidRPr="004E68ED" w:rsidRDefault="00286E5F">
      <w:pPr>
        <w:pStyle w:val="ListParagraph"/>
        <w:keepNext/>
        <w:widowControl/>
        <w:ind w:left="0"/>
        <w:rPr>
          <w:b/>
          <w:i/>
          <w:lang w:val="en-GB"/>
        </w:rPr>
      </w:pPr>
      <w:r w:rsidRPr="004E68ED">
        <w:rPr>
          <w:b/>
          <w:i/>
          <w:lang w:val="en-GB"/>
        </w:rPr>
        <w:t xml:space="preserve">Environmental transition </w:t>
      </w:r>
    </w:p>
    <w:p w14:paraId="7BA01301" w14:textId="77777777" w:rsidR="00286E5F" w:rsidRPr="004E68ED" w:rsidRDefault="00286E5F" w:rsidP="00304502">
      <w:pPr>
        <w:keepNext/>
        <w:rPr>
          <w:lang w:val="en-GB"/>
        </w:rPr>
      </w:pPr>
    </w:p>
    <w:p w14:paraId="4705FEE1" w14:textId="3946778F" w:rsidR="00286E5F" w:rsidRPr="004E68ED" w:rsidRDefault="00286E5F">
      <w:pPr>
        <w:pStyle w:val="Heading1"/>
        <w:rPr>
          <w:lang w:eastAsia="fr-BE"/>
        </w:rPr>
      </w:pPr>
      <w:r w:rsidRPr="004E68ED">
        <w:t>reiterates its call for an 8th Environment Action Programme</w:t>
      </w:r>
      <w:r w:rsidRPr="004E68ED">
        <w:rPr>
          <w:rStyle w:val="FootnoteReference"/>
        </w:rPr>
        <w:footnoteReference w:id="7"/>
      </w:r>
      <w:r w:rsidRPr="004E68ED">
        <w:t xml:space="preserve"> and stresses that this programme should be aligned with the objectives of the Green Deal and </w:t>
      </w:r>
      <w:r w:rsidR="00B968A2" w:rsidRPr="004E68ED">
        <w:t xml:space="preserve">should </w:t>
      </w:r>
      <w:r w:rsidRPr="004E68ED">
        <w:t xml:space="preserve">contribute </w:t>
      </w:r>
      <w:r w:rsidR="00B968A2" w:rsidRPr="004E68ED">
        <w:t xml:space="preserve">decisively </w:t>
      </w:r>
      <w:r w:rsidRPr="004E68ED">
        <w:t>to guiding its effective implementation on the ground</w:t>
      </w:r>
      <w:r w:rsidR="00967537" w:rsidRPr="004E68ED">
        <w:t>. C</w:t>
      </w:r>
      <w:r w:rsidRPr="004E68ED">
        <w:t xml:space="preserve">alls for greater participation </w:t>
      </w:r>
      <w:r w:rsidR="00E31781" w:rsidRPr="004E68ED">
        <w:t xml:space="preserve">by </w:t>
      </w:r>
      <w:r w:rsidRPr="004E68ED">
        <w:t>subnational authorities in the Environmental Implementation Review Cycle;</w:t>
      </w:r>
    </w:p>
    <w:p w14:paraId="17E20E06" w14:textId="77777777" w:rsidR="00286E5F" w:rsidRPr="004E68ED" w:rsidRDefault="00286E5F">
      <w:pPr>
        <w:rPr>
          <w:lang w:val="en-GB"/>
        </w:rPr>
      </w:pPr>
    </w:p>
    <w:p w14:paraId="5640C994" w14:textId="7F085CFA" w:rsidR="00286E5F" w:rsidRPr="004E68ED" w:rsidRDefault="00E31781">
      <w:pPr>
        <w:pStyle w:val="Heading1"/>
      </w:pPr>
      <w:r w:rsidRPr="004E68ED">
        <w:t>calls for</w:t>
      </w:r>
      <w:r w:rsidR="00286E5F" w:rsidRPr="004E68ED">
        <w:t xml:space="preserve"> the post-2020 Global Biodiversity Framework (GBF) </w:t>
      </w:r>
      <w:r w:rsidRPr="004E68ED">
        <w:t xml:space="preserve">to be developed </w:t>
      </w:r>
      <w:r w:rsidR="00286E5F" w:rsidRPr="004E68ED">
        <w:t xml:space="preserve">by aligning and integrating all relevant </w:t>
      </w:r>
      <w:r w:rsidR="00286E5F" w:rsidRPr="004E68ED">
        <w:rPr>
          <w:lang w:eastAsia="fr-BE"/>
        </w:rPr>
        <w:t>environmental</w:t>
      </w:r>
      <w:r w:rsidR="00286E5F" w:rsidRPr="004E68ED">
        <w:t xml:space="preserve"> UN Agreements with the biodiversity targets for 2030</w:t>
      </w:r>
      <w:r w:rsidR="00967537" w:rsidRPr="004E68ED">
        <w:t xml:space="preserve">. </w:t>
      </w:r>
      <w:r w:rsidR="00360807" w:rsidRPr="004E68ED">
        <w:t xml:space="preserve">With a </w:t>
      </w:r>
      <w:r w:rsidR="00286E5F" w:rsidRPr="004E68ED">
        <w:t xml:space="preserve">view </w:t>
      </w:r>
      <w:r w:rsidR="00360807" w:rsidRPr="004E68ED">
        <w:t>to</w:t>
      </w:r>
      <w:r w:rsidR="00286E5F" w:rsidRPr="004E68ED">
        <w:t xml:space="preserve"> COP15 in 2020</w:t>
      </w:r>
      <w:r w:rsidR="00360807" w:rsidRPr="004E68ED">
        <w:t>,</w:t>
      </w:r>
      <w:r w:rsidR="00286E5F" w:rsidRPr="004E68ED">
        <w:t xml:space="preserve"> the parties </w:t>
      </w:r>
      <w:r w:rsidR="00451A6A" w:rsidRPr="004E68ED">
        <w:t xml:space="preserve">to </w:t>
      </w:r>
      <w:r w:rsidR="00286E5F" w:rsidRPr="004E68ED">
        <w:t xml:space="preserve">the CBD </w:t>
      </w:r>
      <w:r w:rsidR="00967537" w:rsidRPr="004E68ED">
        <w:t>should</w:t>
      </w:r>
      <w:r w:rsidR="00286E5F" w:rsidRPr="004E68ED">
        <w:t xml:space="preserve"> formally recognise the indispensable role of LRAs in achieving successful implementation and coherent monitoring, reporting and verification of global and EU policies on biodiversity;</w:t>
      </w:r>
    </w:p>
    <w:p w14:paraId="0E8224F6" w14:textId="77777777" w:rsidR="00286E5F" w:rsidRPr="004E68ED" w:rsidRDefault="00286E5F">
      <w:pPr>
        <w:rPr>
          <w:lang w:val="en-GB"/>
        </w:rPr>
      </w:pPr>
    </w:p>
    <w:p w14:paraId="31D09DF3" w14:textId="0DFC75CF" w:rsidR="00286E5F" w:rsidRPr="004E68ED" w:rsidRDefault="00286E5F">
      <w:pPr>
        <w:pStyle w:val="Heading1"/>
      </w:pPr>
      <w:r w:rsidRPr="004E68ED">
        <w:t>reiterates that delivering on the EU zero-pollution ambition requires a wide-ranging approach looking at air and water quality, hazardous chemicals, emissions, pesticides and endocrine disruptors</w:t>
      </w:r>
      <w:r w:rsidR="00BE3F9D" w:rsidRPr="004E68ED">
        <w:t>;</w:t>
      </w:r>
      <w:r w:rsidRPr="004E68ED">
        <w:t xml:space="preserve"> calls on the Commission not to further delay the development and adoption of the new strategy on endocrine disruptors and stricter rules on hazardous chemicals;</w:t>
      </w:r>
    </w:p>
    <w:p w14:paraId="2B48500A" w14:textId="77777777" w:rsidR="00286E5F" w:rsidRPr="004E68ED" w:rsidRDefault="00286E5F">
      <w:pPr>
        <w:rPr>
          <w:lang w:val="en-GB"/>
        </w:rPr>
      </w:pPr>
    </w:p>
    <w:p w14:paraId="10336488" w14:textId="3BB8E58D" w:rsidR="00286E5F" w:rsidRPr="004E68ED" w:rsidRDefault="00286E5F">
      <w:pPr>
        <w:pStyle w:val="Heading1"/>
      </w:pPr>
      <w:r w:rsidRPr="004E68ED">
        <w:t xml:space="preserve">asks the Commission to </w:t>
      </w:r>
      <w:r w:rsidR="0020719B" w:rsidRPr="004E68ED">
        <w:t xml:space="preserve">do more to </w:t>
      </w:r>
      <w:r w:rsidRPr="004E68ED">
        <w:t xml:space="preserve">promote the potential of Nature-based Solutions (NBS) and Green and Blue Infrastructures (GI) as useful additions </w:t>
      </w:r>
      <w:r w:rsidR="0020719B" w:rsidRPr="004E68ED">
        <w:t xml:space="preserve">to </w:t>
      </w:r>
      <w:r w:rsidRPr="004E68ED">
        <w:t xml:space="preserve">and not </w:t>
      </w:r>
      <w:r w:rsidR="0020719B" w:rsidRPr="004E68ED">
        <w:t xml:space="preserve">as </w:t>
      </w:r>
      <w:r w:rsidRPr="004E68ED">
        <w:t xml:space="preserve">a replacement </w:t>
      </w:r>
      <w:r w:rsidR="0020719B" w:rsidRPr="004E68ED">
        <w:t xml:space="preserve">for </w:t>
      </w:r>
      <w:r w:rsidRPr="004E68ED">
        <w:t>strong biodiversity and ecosystem services actions in peri-urban and rural areas;</w:t>
      </w:r>
    </w:p>
    <w:p w14:paraId="1EA4612B" w14:textId="58FC2039" w:rsidR="00286E5F" w:rsidRPr="004E68ED" w:rsidRDefault="00286E5F">
      <w:pPr>
        <w:rPr>
          <w:lang w:val="en-GB"/>
        </w:rPr>
      </w:pPr>
    </w:p>
    <w:p w14:paraId="5B6D193A" w14:textId="631B5F1F" w:rsidR="0012176B" w:rsidRPr="004E68ED" w:rsidRDefault="0012176B" w:rsidP="00D17AD0">
      <w:pPr>
        <w:pStyle w:val="Heading1"/>
      </w:pPr>
      <w:r w:rsidRPr="004E68ED">
        <w:rPr>
          <w:bCs/>
          <w:iCs/>
        </w:rPr>
        <w:t>stresses the benefits of environmental framework programmes at regional level that are aligned with the different national, European and international strategies; these programmes might help to set objectives and main actions, provide clarity in the regional environmental choices and establish a long-term road map in which the involvement of society is key, as well as facilitating the design of alliances with other European regions;</w:t>
      </w:r>
    </w:p>
    <w:p w14:paraId="15138B37" w14:textId="77777777" w:rsidR="0012176B" w:rsidRPr="004E68ED" w:rsidRDefault="0012176B">
      <w:pPr>
        <w:rPr>
          <w:lang w:val="en-GB"/>
        </w:rPr>
      </w:pPr>
    </w:p>
    <w:p w14:paraId="23306519" w14:textId="77777777" w:rsidR="00111096" w:rsidRPr="004E68ED" w:rsidRDefault="00111096">
      <w:pPr>
        <w:pStyle w:val="ListParagraph"/>
        <w:keepNext/>
        <w:widowControl/>
        <w:ind w:left="0"/>
        <w:rPr>
          <w:b/>
          <w:i/>
          <w:lang w:val="en-GB"/>
        </w:rPr>
      </w:pPr>
      <w:r w:rsidRPr="004E68ED">
        <w:rPr>
          <w:b/>
          <w:i/>
          <w:lang w:val="en-GB"/>
        </w:rPr>
        <w:t>Digital transition</w:t>
      </w:r>
    </w:p>
    <w:p w14:paraId="12A32595" w14:textId="77777777" w:rsidR="00111096" w:rsidRPr="004E68ED" w:rsidRDefault="00111096" w:rsidP="00304502">
      <w:pPr>
        <w:keepNext/>
        <w:rPr>
          <w:lang w:val="en-GB"/>
        </w:rPr>
      </w:pPr>
    </w:p>
    <w:p w14:paraId="17E59322" w14:textId="3F4B392D" w:rsidR="00111096" w:rsidRPr="004E68ED" w:rsidRDefault="00EA1C46">
      <w:pPr>
        <w:pStyle w:val="Heading1"/>
      </w:pPr>
      <w:r w:rsidRPr="004E68ED">
        <w:t xml:space="preserve">reiterates the important role smart regions, cities and communities play in guaranteeing a just and fair transition towards climate neutrality; calls on the Commission to </w:t>
      </w:r>
      <w:r w:rsidR="0012176B" w:rsidRPr="004E68ED">
        <w:rPr>
          <w:bCs/>
          <w:iCs/>
        </w:rPr>
        <w:t>pursue the concept of digital cohesion to ensure that no person or region is left behind in the digital transition, to</w:t>
      </w:r>
      <w:r w:rsidR="0012176B" w:rsidRPr="004E68ED">
        <w:t xml:space="preserve"> </w:t>
      </w:r>
      <w:r w:rsidRPr="004E68ED">
        <w:t xml:space="preserve">promote targeted measures to support LRAs to </w:t>
      </w:r>
      <w:r w:rsidRPr="004E68ED">
        <w:rPr>
          <w:lang w:eastAsia="fr-BE"/>
        </w:rPr>
        <w:t>roll</w:t>
      </w:r>
      <w:r w:rsidRPr="004E68ED">
        <w:t xml:space="preserve"> out smart solutions and to increase the leverage of smart specialisation programmes to boost digital skills;</w:t>
      </w:r>
    </w:p>
    <w:p w14:paraId="5D4A3633" w14:textId="77777777" w:rsidR="005B4D29" w:rsidRPr="004E68ED" w:rsidRDefault="005B4D29">
      <w:pPr>
        <w:rPr>
          <w:lang w:val="en-GB"/>
        </w:rPr>
      </w:pPr>
    </w:p>
    <w:p w14:paraId="030E1ADF" w14:textId="6D351189" w:rsidR="00BC5E4F" w:rsidRPr="004E68ED" w:rsidRDefault="00111096">
      <w:pPr>
        <w:pStyle w:val="Heading1"/>
      </w:pPr>
      <w:r w:rsidRPr="004E68ED">
        <w:t xml:space="preserve">calls for comprehensive frameworks </w:t>
      </w:r>
      <w:r w:rsidR="00226C68" w:rsidRPr="004E68ED">
        <w:t xml:space="preserve">to be developed to </w:t>
      </w:r>
      <w:r w:rsidRPr="004E68ED">
        <w:t xml:space="preserve">integrate and use data for the purpose of smart governance </w:t>
      </w:r>
      <w:r w:rsidRPr="004E68ED">
        <w:rPr>
          <w:lang w:eastAsia="fr-BE"/>
        </w:rPr>
        <w:t>and</w:t>
      </w:r>
      <w:r w:rsidRPr="004E68ED">
        <w:t xml:space="preserve">, at the same time, guarantee the required </w:t>
      </w:r>
      <w:r w:rsidR="00286E5F" w:rsidRPr="004E68ED">
        <w:t xml:space="preserve">data </w:t>
      </w:r>
      <w:r w:rsidRPr="004E68ED">
        <w:t>protection;</w:t>
      </w:r>
    </w:p>
    <w:p w14:paraId="4F299668" w14:textId="77777777" w:rsidR="00BC5E4F" w:rsidRPr="004E68ED" w:rsidRDefault="00BC5E4F">
      <w:pPr>
        <w:rPr>
          <w:lang w:val="en-GB"/>
        </w:rPr>
      </w:pPr>
    </w:p>
    <w:p w14:paraId="097BF2DF" w14:textId="2B173C72" w:rsidR="00307965" w:rsidRPr="004E68ED" w:rsidRDefault="00214223">
      <w:pPr>
        <w:pStyle w:val="Heading1"/>
      </w:pPr>
      <w:r w:rsidRPr="004E68ED">
        <w:t>d</w:t>
      </w:r>
      <w:r w:rsidR="00BD6D5D" w:rsidRPr="004E68ED">
        <w:t xml:space="preserve">raws attention to </w:t>
      </w:r>
      <w:r w:rsidR="00BD6D5D" w:rsidRPr="004E68ED">
        <w:rPr>
          <w:lang w:eastAsia="fr-BE"/>
        </w:rPr>
        <w:t>the</w:t>
      </w:r>
      <w:r w:rsidR="00BD6D5D" w:rsidRPr="004E68ED">
        <w:t xml:space="preserve"> important c</w:t>
      </w:r>
      <w:r w:rsidR="00286E5F" w:rsidRPr="004E68ED">
        <w:t>arbon footprint of the internet</w:t>
      </w:r>
      <w:r w:rsidR="0012176B" w:rsidRPr="004E68ED">
        <w:t xml:space="preserve"> and digital data processing</w:t>
      </w:r>
      <w:r w:rsidR="00286E5F" w:rsidRPr="004E68ED">
        <w:t>, c</w:t>
      </w:r>
      <w:r w:rsidR="00BD6D5D" w:rsidRPr="004E68ED">
        <w:t xml:space="preserve">alls therefore on </w:t>
      </w:r>
      <w:r w:rsidR="0012176B" w:rsidRPr="004E68ED">
        <w:t xml:space="preserve">the EU to do more to address </w:t>
      </w:r>
      <w:r w:rsidR="00BD6D5D" w:rsidRPr="004E68ED">
        <w:t xml:space="preserve"> the energy and CO</w:t>
      </w:r>
      <w:r w:rsidR="00BD6D5D" w:rsidRPr="004E68ED">
        <w:rPr>
          <w:vertAlign w:val="subscript"/>
        </w:rPr>
        <w:t>2</w:t>
      </w:r>
      <w:r w:rsidR="00BD6D5D" w:rsidRPr="004E68ED">
        <w:t xml:space="preserve"> </w:t>
      </w:r>
      <w:r w:rsidR="00286E5F" w:rsidRPr="004E68ED">
        <w:t>implications of digitalisation</w:t>
      </w:r>
      <w:r w:rsidR="0012176B" w:rsidRPr="004E68ED">
        <w:t xml:space="preserve"> and boost its sustainability; believes that the public authorities should raise awareness of the issue</w:t>
      </w:r>
      <w:r w:rsidR="00286E5F" w:rsidRPr="004E68ED">
        <w:t>;</w:t>
      </w:r>
    </w:p>
    <w:p w14:paraId="73210C62" w14:textId="77777777" w:rsidR="009A47FF" w:rsidRPr="004E68ED" w:rsidRDefault="009A47FF" w:rsidP="00304502">
      <w:pPr>
        <w:rPr>
          <w:lang w:val="en-GB"/>
        </w:rPr>
      </w:pPr>
    </w:p>
    <w:p w14:paraId="55E4EE5B" w14:textId="77777777" w:rsidR="0067670C" w:rsidRPr="004E68ED" w:rsidRDefault="00D935A4">
      <w:pPr>
        <w:pStyle w:val="ListParagraph"/>
        <w:keepNext/>
        <w:widowControl/>
        <w:ind w:left="0"/>
        <w:rPr>
          <w:i/>
          <w:lang w:val="en-GB"/>
        </w:rPr>
      </w:pPr>
      <w:r w:rsidRPr="004E68ED">
        <w:rPr>
          <w:b/>
          <w:i/>
          <w:lang w:val="en-GB"/>
        </w:rPr>
        <w:t>A</w:t>
      </w:r>
      <w:r w:rsidR="00111096" w:rsidRPr="004E68ED">
        <w:rPr>
          <w:b/>
          <w:i/>
          <w:lang w:val="en-GB"/>
        </w:rPr>
        <w:t xml:space="preserve">dequate financial resources </w:t>
      </w:r>
      <w:r w:rsidRPr="004E68ED">
        <w:rPr>
          <w:b/>
          <w:i/>
          <w:lang w:val="en-GB"/>
        </w:rPr>
        <w:t>at the EU, national, regional, and local level</w:t>
      </w:r>
      <w:r w:rsidR="002E0BC0" w:rsidRPr="004E68ED">
        <w:rPr>
          <w:b/>
          <w:i/>
          <w:lang w:val="en-GB"/>
        </w:rPr>
        <w:t xml:space="preserve"> </w:t>
      </w:r>
      <w:r w:rsidRPr="004E68ED">
        <w:rPr>
          <w:b/>
          <w:i/>
          <w:lang w:val="en-GB"/>
        </w:rPr>
        <w:t xml:space="preserve">must be provided </w:t>
      </w:r>
      <w:r w:rsidR="00111096" w:rsidRPr="004E68ED">
        <w:rPr>
          <w:b/>
          <w:i/>
          <w:lang w:val="en-GB"/>
        </w:rPr>
        <w:t>to meet the needs of the citizens</w:t>
      </w:r>
      <w:r w:rsidR="00111096" w:rsidRPr="004E68ED">
        <w:rPr>
          <w:i/>
          <w:lang w:val="en-GB"/>
        </w:rPr>
        <w:t xml:space="preserve"> </w:t>
      </w:r>
    </w:p>
    <w:p w14:paraId="4A99027B" w14:textId="77777777" w:rsidR="00F179AA" w:rsidRPr="004E68ED" w:rsidRDefault="00F179AA" w:rsidP="00304502">
      <w:pPr>
        <w:keepNext/>
        <w:rPr>
          <w:lang w:val="en-GB"/>
        </w:rPr>
      </w:pPr>
    </w:p>
    <w:p w14:paraId="6B011853" w14:textId="0572B830" w:rsidR="00963110" w:rsidRPr="004E68ED" w:rsidRDefault="0005171E">
      <w:pPr>
        <w:pStyle w:val="Heading1"/>
      </w:pPr>
      <w:r w:rsidRPr="004E68ED">
        <w:t>w</w:t>
      </w:r>
      <w:r w:rsidR="008E596F" w:rsidRPr="004E68ED">
        <w:t xml:space="preserve">elcomes the proposal for a Sustainable Europe Investment Plan </w:t>
      </w:r>
      <w:r w:rsidR="00967537" w:rsidRPr="004E68ED">
        <w:t xml:space="preserve">of </w:t>
      </w:r>
      <w:r w:rsidR="008E596F" w:rsidRPr="004E68ED">
        <w:t xml:space="preserve">EUR 1 trillion </w:t>
      </w:r>
      <w:r w:rsidR="00604B21" w:rsidRPr="004E68ED">
        <w:t xml:space="preserve">in </w:t>
      </w:r>
      <w:r w:rsidR="008E596F" w:rsidRPr="004E68ED">
        <w:t xml:space="preserve">investment </w:t>
      </w:r>
      <w:r w:rsidR="00A878F2" w:rsidRPr="004E68ED">
        <w:t>between 2021 and 2030</w:t>
      </w:r>
      <w:r w:rsidR="00967537" w:rsidRPr="004E68ED">
        <w:t>,</w:t>
      </w:r>
      <w:r w:rsidR="00A878F2" w:rsidRPr="004E68ED">
        <w:t xml:space="preserve"> corresponding to the needs identified by European Court of Auditors</w:t>
      </w:r>
      <w:r w:rsidR="00A878F2" w:rsidRPr="004E68ED">
        <w:rPr>
          <w:rStyle w:val="FootnoteReference"/>
        </w:rPr>
        <w:footnoteReference w:id="8"/>
      </w:r>
      <w:r w:rsidR="0042081B" w:rsidRPr="004E68ED">
        <w:t>;</w:t>
      </w:r>
      <w:r w:rsidR="00F74CC5" w:rsidRPr="004E68ED">
        <w:t xml:space="preserve"> </w:t>
      </w:r>
      <w:r w:rsidR="0042081B" w:rsidRPr="004E68ED">
        <w:t>a</w:t>
      </w:r>
      <w:r w:rsidR="00171906" w:rsidRPr="004E68ED">
        <w:t xml:space="preserve">lso supports the </w:t>
      </w:r>
      <w:r w:rsidR="002F2251" w:rsidRPr="004E68ED">
        <w:t xml:space="preserve">decision taken by </w:t>
      </w:r>
      <w:r w:rsidR="008E596F" w:rsidRPr="004E68ED">
        <w:t xml:space="preserve">the European Investment Bank </w:t>
      </w:r>
      <w:r w:rsidR="00AC33EB" w:rsidRPr="004E68ED">
        <w:t xml:space="preserve">to </w:t>
      </w:r>
      <w:r w:rsidR="002F2251" w:rsidRPr="004E68ED">
        <w:rPr>
          <w:bCs/>
          <w:iCs/>
        </w:rPr>
        <w:t>end financing for most fossil fuel energy projects from the end of 2021 and to gradually increase the share of its financing dedicated to climate action and environmental sustainability</w:t>
      </w:r>
      <w:r w:rsidR="0042081B" w:rsidRPr="004E68ED">
        <w:t>;</w:t>
      </w:r>
      <w:r w:rsidR="002E0BC0" w:rsidRPr="004E68ED">
        <w:t xml:space="preserve"> </w:t>
      </w:r>
      <w:r w:rsidR="0042081B" w:rsidRPr="004E68ED">
        <w:t>r</w:t>
      </w:r>
      <w:r w:rsidR="00963110" w:rsidRPr="004E68ED">
        <w:t>eiterates its call to reduce red tape, simplify the mechanisms related to the preparation of projects, and reinforce tailor-made technical assistance to access the European Investment Bank's JASPERS and ELENA to develop bankable projects, including smaller-scale projects;</w:t>
      </w:r>
    </w:p>
    <w:p w14:paraId="7280D457" w14:textId="77777777" w:rsidR="00963110" w:rsidRPr="004E68ED" w:rsidRDefault="00963110">
      <w:pPr>
        <w:rPr>
          <w:lang w:val="en-GB"/>
        </w:rPr>
      </w:pPr>
    </w:p>
    <w:p w14:paraId="535F0318" w14:textId="4BF33921" w:rsidR="00B17D5F" w:rsidRPr="004E68ED" w:rsidRDefault="008E596F">
      <w:pPr>
        <w:pStyle w:val="Heading1"/>
      </w:pPr>
      <w:r w:rsidRPr="004E68ED">
        <w:t xml:space="preserve">also insists that </w:t>
      </w:r>
      <w:r w:rsidRPr="004E68ED">
        <w:rPr>
          <w:lang w:eastAsia="fr-BE"/>
        </w:rPr>
        <w:t>additional</w:t>
      </w:r>
      <w:r w:rsidRPr="004E68ED">
        <w:t xml:space="preserve"> resources, such as the proposed extension of the Emissions Trading System and introduction of a WTO-compatible </w:t>
      </w:r>
      <w:r w:rsidR="00BF5209" w:rsidRPr="004E68ED">
        <w:t>Carbon Border Tax</w:t>
      </w:r>
      <w:r w:rsidR="002E0BC0" w:rsidRPr="004E68ED">
        <w:t xml:space="preserve"> </w:t>
      </w:r>
      <w:r w:rsidR="00BF5209" w:rsidRPr="004E68ED">
        <w:t>are necessary</w:t>
      </w:r>
      <w:r w:rsidR="002F2251" w:rsidRPr="004E68ED">
        <w:t>; as well as appropriate taxation on aviation fuel</w:t>
      </w:r>
      <w:r w:rsidR="00D27484" w:rsidRPr="004E68ED">
        <w:t>;</w:t>
      </w:r>
    </w:p>
    <w:p w14:paraId="7F06825C" w14:textId="77777777" w:rsidR="00642DA3" w:rsidRPr="004E68ED" w:rsidRDefault="00642DA3">
      <w:pPr>
        <w:rPr>
          <w:lang w:val="en-GB"/>
        </w:rPr>
      </w:pPr>
    </w:p>
    <w:p w14:paraId="37C4110A" w14:textId="719E922B" w:rsidR="006B5BAF" w:rsidRPr="004E68ED" w:rsidRDefault="0003532F">
      <w:pPr>
        <w:pStyle w:val="Heading1"/>
      </w:pPr>
      <w:r w:rsidRPr="004E68ED">
        <w:t>asks the Commission to establish</w:t>
      </w:r>
      <w:r w:rsidR="006B5BAF" w:rsidRPr="004E68ED">
        <w:t xml:space="preserve"> a new Just Transition Fund</w:t>
      </w:r>
      <w:r w:rsidR="00AC33EB" w:rsidRPr="004E68ED">
        <w:t xml:space="preserve"> </w:t>
      </w:r>
      <w:r w:rsidR="00BF5209" w:rsidRPr="004E68ED">
        <w:t xml:space="preserve">targeted at coal and carbon-intensive regions </w:t>
      </w:r>
      <w:r w:rsidR="00A07271" w:rsidRPr="004E68ED">
        <w:t xml:space="preserve">and which </w:t>
      </w:r>
      <w:r w:rsidR="00AC33EB" w:rsidRPr="004E68ED">
        <w:t>consist</w:t>
      </w:r>
      <w:r w:rsidRPr="004E68ED">
        <w:t>s</w:t>
      </w:r>
      <w:r w:rsidR="00AC33EB" w:rsidRPr="004E68ED">
        <w:t xml:space="preserve"> of additional resources on top of the resources allocated to cohesion policy, but </w:t>
      </w:r>
      <w:r w:rsidR="00A07271" w:rsidRPr="004E68ED">
        <w:t xml:space="preserve">which </w:t>
      </w:r>
      <w:r w:rsidR="00AC33EB" w:rsidRPr="004E68ED">
        <w:t>function</w:t>
      </w:r>
      <w:r w:rsidR="00171906" w:rsidRPr="004E68ED">
        <w:t>s</w:t>
      </w:r>
      <w:r w:rsidR="00AC33EB" w:rsidRPr="004E68ED">
        <w:t xml:space="preserve"> </w:t>
      </w:r>
      <w:r w:rsidR="00A07271" w:rsidRPr="004E68ED">
        <w:t xml:space="preserve">as a </w:t>
      </w:r>
      <w:r w:rsidR="00AC33EB" w:rsidRPr="004E68ED">
        <w:t>complement</w:t>
      </w:r>
      <w:r w:rsidR="006B5BAF" w:rsidRPr="004E68ED">
        <w:t xml:space="preserve"> </w:t>
      </w:r>
      <w:r w:rsidR="00A07271" w:rsidRPr="004E68ED">
        <w:t xml:space="preserve">to </w:t>
      </w:r>
      <w:r w:rsidR="006B5BAF" w:rsidRPr="004E68ED">
        <w:t>the 2021-2027 cohesion polic</w:t>
      </w:r>
      <w:r w:rsidR="00AC33EB" w:rsidRPr="004E68ED">
        <w:t xml:space="preserve">ies' </w:t>
      </w:r>
      <w:r w:rsidR="006B5BAF" w:rsidRPr="004E68ED">
        <w:t>operational programmes</w:t>
      </w:r>
      <w:r w:rsidR="00AC33EB" w:rsidRPr="004E68ED">
        <w:t xml:space="preserve"> at NUTS 2 level;</w:t>
      </w:r>
    </w:p>
    <w:p w14:paraId="77CE6BCB" w14:textId="77777777" w:rsidR="006B5BAF" w:rsidRPr="004E68ED" w:rsidRDefault="006B5BAF">
      <w:pPr>
        <w:rPr>
          <w:lang w:val="en-GB"/>
        </w:rPr>
      </w:pPr>
    </w:p>
    <w:p w14:paraId="450A4FAB" w14:textId="086CE97E" w:rsidR="0003532F" w:rsidRPr="004E68ED" w:rsidRDefault="0003532F">
      <w:pPr>
        <w:pStyle w:val="Heading1"/>
      </w:pPr>
      <w:r w:rsidRPr="004E68ED">
        <w:t xml:space="preserve">calls for at </w:t>
      </w:r>
      <w:r w:rsidRPr="004E68ED">
        <w:rPr>
          <w:lang w:eastAsia="fr-BE"/>
        </w:rPr>
        <w:t>least</w:t>
      </w:r>
      <w:r w:rsidRPr="004E68ED">
        <w:t xml:space="preserve"> 30% of the </w:t>
      </w:r>
      <w:r w:rsidR="005C216F" w:rsidRPr="004E68ED">
        <w:t xml:space="preserve">entire </w:t>
      </w:r>
      <w:r w:rsidRPr="004E68ED">
        <w:t xml:space="preserve">EU budget 2021-2027 </w:t>
      </w:r>
      <w:r w:rsidR="00166C8D" w:rsidRPr="004E68ED">
        <w:t xml:space="preserve">to be earmarked </w:t>
      </w:r>
      <w:r w:rsidRPr="004E68ED">
        <w:t>for climate and biodiversity action</w:t>
      </w:r>
      <w:r w:rsidR="005473D0" w:rsidRPr="004E68ED">
        <w:t>,</w:t>
      </w:r>
      <w:r w:rsidR="005C216F" w:rsidRPr="004E68ED">
        <w:t xml:space="preserve"> while phasing out subsidies </w:t>
      </w:r>
      <w:r w:rsidR="005473D0" w:rsidRPr="004E68ED">
        <w:t>for</w:t>
      </w:r>
      <w:r w:rsidR="005C216F" w:rsidRPr="004E68ED">
        <w:t xml:space="preserve"> fossil fuel</w:t>
      </w:r>
      <w:r w:rsidR="00C32E10" w:rsidRPr="004E68ED">
        <w:t>s</w:t>
      </w:r>
      <w:r w:rsidRPr="004E68ED">
        <w:t>;</w:t>
      </w:r>
    </w:p>
    <w:p w14:paraId="379F35F4" w14:textId="77777777" w:rsidR="0003532F" w:rsidRPr="004E68ED" w:rsidRDefault="0003532F">
      <w:pPr>
        <w:rPr>
          <w:lang w:val="en-GB"/>
        </w:rPr>
      </w:pPr>
    </w:p>
    <w:p w14:paraId="71E59B84" w14:textId="77777777" w:rsidR="00EE2105" w:rsidRPr="004E68ED" w:rsidRDefault="006B5BAF">
      <w:pPr>
        <w:pStyle w:val="Heading1"/>
      </w:pPr>
      <w:r w:rsidRPr="004E68ED">
        <w:t xml:space="preserve">highlights the crucial </w:t>
      </w:r>
      <w:r w:rsidRPr="004E68ED">
        <w:rPr>
          <w:lang w:eastAsia="fr-BE"/>
        </w:rPr>
        <w:t>role</w:t>
      </w:r>
      <w:r w:rsidRPr="004E68ED">
        <w:t xml:space="preserve"> of cohesion policy as the main financial instrument in</w:t>
      </w:r>
      <w:r w:rsidR="002E0BC0" w:rsidRPr="004E68ED">
        <w:t xml:space="preserve"> </w:t>
      </w:r>
      <w:r w:rsidR="0003532F" w:rsidRPr="004E68ED">
        <w:t>implementing the transitions'</w:t>
      </w:r>
      <w:r w:rsidRPr="004E68ED">
        <w:t xml:space="preserve"> objective</w:t>
      </w:r>
      <w:r w:rsidR="0003532F" w:rsidRPr="004E68ED">
        <w:t>s</w:t>
      </w:r>
      <w:r w:rsidRPr="004E68ED">
        <w:t xml:space="preserve">; </w:t>
      </w:r>
      <w:r w:rsidR="0003532F" w:rsidRPr="004E68ED">
        <w:t>calls</w:t>
      </w:r>
      <w:r w:rsidRPr="004E68ED">
        <w:t xml:space="preserve"> for cohesion policy to have adequate funding at its disposal, </w:t>
      </w:r>
      <w:r w:rsidR="0003532F" w:rsidRPr="004E68ED">
        <w:t>therefore</w:t>
      </w:r>
      <w:r w:rsidRPr="004E68ED">
        <w:t xml:space="preserve"> the share of the budget allocated to cohesion policy in the next MFF should remain the same</w:t>
      </w:r>
      <w:r w:rsidR="00E4490C" w:rsidRPr="004E68ED">
        <w:t>;</w:t>
      </w:r>
    </w:p>
    <w:p w14:paraId="108C1AE8" w14:textId="77777777" w:rsidR="000777C2" w:rsidRPr="004E68ED" w:rsidRDefault="000777C2">
      <w:pPr>
        <w:rPr>
          <w:lang w:val="en-GB"/>
        </w:rPr>
      </w:pPr>
    </w:p>
    <w:p w14:paraId="69F0E4CF" w14:textId="7FA058AA" w:rsidR="0089336E" w:rsidRPr="004E68ED" w:rsidRDefault="000777C2">
      <w:pPr>
        <w:pStyle w:val="Heading1"/>
      </w:pPr>
      <w:r w:rsidRPr="004E68ED">
        <w:t>is concerned that the Green Deal is unachievable without the right financial framework</w:t>
      </w:r>
      <w:r w:rsidR="00171906" w:rsidRPr="004E68ED">
        <w:t>. C</w:t>
      </w:r>
      <w:r w:rsidRPr="004E68ED">
        <w:t xml:space="preserve">alls for the full </w:t>
      </w:r>
      <w:r w:rsidRPr="004E68ED">
        <w:rPr>
          <w:lang w:eastAsia="fr-BE"/>
        </w:rPr>
        <w:t>implementation</w:t>
      </w:r>
      <w:r w:rsidRPr="004E68ED">
        <w:t xml:space="preserve"> of the Commission's Action Plan on Financing Sustainable Growth</w:t>
      </w:r>
      <w:r w:rsidR="002E0BC0" w:rsidRPr="004E68ED">
        <w:t xml:space="preserve"> </w:t>
      </w:r>
      <w:r w:rsidR="00A1395E" w:rsidRPr="004E68ED">
        <w:t xml:space="preserve">and </w:t>
      </w:r>
      <w:r w:rsidR="00F377A7" w:rsidRPr="004E68ED">
        <w:t xml:space="preserve">the </w:t>
      </w:r>
      <w:r w:rsidR="00A1395E" w:rsidRPr="004E68ED">
        <w:t>quick adoption of the regulatory framework on taxonomy to facilitate sustainable investment, on disclosures relating to sustainable investments and sustainability risks and on low carbon benchmarks and positive carbon impact benchmarks</w:t>
      </w:r>
      <w:r w:rsidR="00A1395E" w:rsidRPr="004E68ED">
        <w:rPr>
          <w:rStyle w:val="FootnoteReference"/>
        </w:rPr>
        <w:footnoteReference w:id="9"/>
      </w:r>
      <w:r w:rsidR="00A1395E" w:rsidRPr="004E68ED">
        <w:t xml:space="preserve">. This framework should </w:t>
      </w:r>
      <w:r w:rsidR="00D30788" w:rsidRPr="004E68ED">
        <w:t>also cover</w:t>
      </w:r>
      <w:r w:rsidR="00A1395E" w:rsidRPr="004E68ED">
        <w:t xml:space="preserve"> investment</w:t>
      </w:r>
      <w:r w:rsidR="00D30788" w:rsidRPr="004E68ED">
        <w:t>s</w:t>
      </w:r>
      <w:r w:rsidR="00A1395E" w:rsidRPr="004E68ED">
        <w:t xml:space="preserve"> in the nuclear industry, aviation and the railway sector. The </w:t>
      </w:r>
      <w:r w:rsidR="00A1395E" w:rsidRPr="004E68ED">
        <w:rPr>
          <w:lang w:eastAsia="de-DE"/>
        </w:rPr>
        <w:t xml:space="preserve">Action Plan should also be rapidly extended to social </w:t>
      </w:r>
      <w:r w:rsidR="00D30788" w:rsidRPr="004E68ED">
        <w:rPr>
          <w:lang w:eastAsia="de-DE"/>
        </w:rPr>
        <w:t>criteria</w:t>
      </w:r>
      <w:r w:rsidR="00BF5209" w:rsidRPr="004E68ED">
        <w:rPr>
          <w:lang w:eastAsia="de-DE"/>
        </w:rPr>
        <w:t>;</w:t>
      </w:r>
    </w:p>
    <w:p w14:paraId="2427036A" w14:textId="77777777" w:rsidR="000777C2" w:rsidRPr="004E68ED" w:rsidRDefault="000777C2">
      <w:pPr>
        <w:rPr>
          <w:lang w:val="en-GB"/>
        </w:rPr>
      </w:pPr>
    </w:p>
    <w:p w14:paraId="07BAAF03" w14:textId="45766645" w:rsidR="00F179AA" w:rsidRPr="004E68ED" w:rsidRDefault="00EE2105">
      <w:pPr>
        <w:pStyle w:val="Heading1"/>
      </w:pPr>
      <w:r w:rsidRPr="004E68ED">
        <w:t xml:space="preserve">encourages an ambitious approach to EU investments in nature and biodiversity, </w:t>
      </w:r>
      <w:r w:rsidR="00F377A7" w:rsidRPr="004E68ED">
        <w:t xml:space="preserve">noting </w:t>
      </w:r>
      <w:r w:rsidRPr="004E68ED">
        <w:t xml:space="preserve">that costs would be </w:t>
      </w:r>
      <w:r w:rsidRPr="004E68ED">
        <w:rPr>
          <w:lang w:eastAsia="fr-BE"/>
        </w:rPr>
        <w:t>exceeded</w:t>
      </w:r>
      <w:r w:rsidRPr="004E68ED">
        <w:t xml:space="preserve"> by </w:t>
      </w:r>
      <w:r w:rsidR="001C637F" w:rsidRPr="004E68ED">
        <w:t xml:space="preserve">the </w:t>
      </w:r>
      <w:r w:rsidRPr="004E68ED">
        <w:t>benefits derived by ecosystem services</w:t>
      </w:r>
      <w:r w:rsidR="001C637F" w:rsidRPr="004E68ED">
        <w:t>,</w:t>
      </w:r>
      <w:r w:rsidRPr="004E68ED">
        <w:t xml:space="preserve"> for example</w:t>
      </w:r>
      <w:r w:rsidR="001C637F" w:rsidRPr="004E68ED">
        <w:t>,</w:t>
      </w:r>
      <w:r w:rsidRPr="004E68ED">
        <w:t xml:space="preserve"> in the form of healthcare services, CO</w:t>
      </w:r>
      <w:r w:rsidRPr="004E68ED">
        <w:rPr>
          <w:vertAlign w:val="subscript"/>
        </w:rPr>
        <w:t>2</w:t>
      </w:r>
      <w:r w:rsidRPr="004E68ED">
        <w:t xml:space="preserve"> storage, flood retention, purification of water reserves, air purification, or prevention of soil erosion;</w:t>
      </w:r>
      <w:r w:rsidR="008A5FC4" w:rsidRPr="004E68ED">
        <w:t xml:space="preserve"> </w:t>
      </w:r>
    </w:p>
    <w:p w14:paraId="1FD8ADBB" w14:textId="77777777" w:rsidR="000777C2" w:rsidRPr="004E68ED" w:rsidRDefault="000777C2">
      <w:pPr>
        <w:rPr>
          <w:lang w:val="en-GB"/>
        </w:rPr>
      </w:pPr>
    </w:p>
    <w:p w14:paraId="568D95C8" w14:textId="0FDD5D95" w:rsidR="00260495" w:rsidRPr="004E68ED" w:rsidRDefault="000777C2">
      <w:pPr>
        <w:pStyle w:val="Heading1"/>
      </w:pPr>
      <w:r w:rsidRPr="004E68ED">
        <w:t xml:space="preserve">reiterates its view that no agreement can be reached on the expenditure of the </w:t>
      </w:r>
      <w:r w:rsidR="000F260D" w:rsidRPr="004E68ED">
        <w:t xml:space="preserve">EU Budget </w:t>
      </w:r>
      <w:r w:rsidRPr="004E68ED">
        <w:t xml:space="preserve">unless progress is </w:t>
      </w:r>
      <w:r w:rsidR="000F260D" w:rsidRPr="004E68ED">
        <w:t xml:space="preserve">also </w:t>
      </w:r>
      <w:r w:rsidRPr="004E68ED">
        <w:t xml:space="preserve">made on revenue, because the size of the </w:t>
      </w:r>
      <w:r w:rsidR="000F260D" w:rsidRPr="004E68ED">
        <w:t xml:space="preserve">EU Budget </w:t>
      </w:r>
      <w:r w:rsidRPr="004E68ED">
        <w:t xml:space="preserve">should be commensurate </w:t>
      </w:r>
      <w:r w:rsidR="00002D63" w:rsidRPr="004E68ED">
        <w:t>with</w:t>
      </w:r>
      <w:r w:rsidRPr="004E68ED">
        <w:t xml:space="preserve"> current and future EU priorities</w:t>
      </w:r>
      <w:r w:rsidRPr="004E68ED">
        <w:rPr>
          <w:rStyle w:val="FootnoteReference"/>
        </w:rPr>
        <w:footnoteReference w:id="10"/>
      </w:r>
      <w:r w:rsidR="0042081B" w:rsidRPr="004E68ED">
        <w:t>;</w:t>
      </w:r>
      <w:r w:rsidRPr="004E68ED">
        <w:t xml:space="preserve"> urges the Commission to come forward with </w:t>
      </w:r>
      <w:r w:rsidRPr="004E68ED">
        <w:rPr>
          <w:lang w:eastAsia="fr-BE"/>
        </w:rPr>
        <w:t>contingency</w:t>
      </w:r>
      <w:r w:rsidRPr="004E68ED">
        <w:t xml:space="preserve"> measures to support the Green Deal if the next </w:t>
      </w:r>
      <w:r w:rsidR="000F260D" w:rsidRPr="004E68ED">
        <w:t xml:space="preserve">EU Budget </w:t>
      </w:r>
      <w:r w:rsidRPr="004E68ED">
        <w:t>cannot be put in place before the end of 2020</w:t>
      </w:r>
      <w:r w:rsidR="00DA4E23" w:rsidRPr="004E68ED">
        <w:t>;</w:t>
      </w:r>
    </w:p>
    <w:p w14:paraId="7BCBA364" w14:textId="77777777" w:rsidR="00260495" w:rsidRPr="004E68ED" w:rsidRDefault="00260495">
      <w:pPr>
        <w:rPr>
          <w:lang w:val="en-GB"/>
        </w:rPr>
      </w:pPr>
    </w:p>
    <w:p w14:paraId="4E4838C6" w14:textId="22B9EAC3" w:rsidR="00260495" w:rsidRPr="004E68ED" w:rsidRDefault="00260495">
      <w:pPr>
        <w:pStyle w:val="Heading1"/>
      </w:pPr>
      <w:r w:rsidRPr="004E68ED">
        <w:t>stresses the importance of co-funding rates for EU funds to facilitate access for small communities</w:t>
      </w:r>
      <w:r w:rsidR="002F2251" w:rsidRPr="004E68ED">
        <w:t>, rural areas</w:t>
      </w:r>
      <w:r w:rsidRPr="004E68ED">
        <w:t xml:space="preserve"> and islands; calls to </w:t>
      </w:r>
      <w:r w:rsidRPr="004E68ED">
        <w:rPr>
          <w:lang w:eastAsia="fr-BE"/>
        </w:rPr>
        <w:t>strengthen</w:t>
      </w:r>
      <w:r w:rsidRPr="004E68ED">
        <w:t xml:space="preserve"> their capacity to be used as energy transition "laboratories", by devising innovative solutions and coordinated policy action;</w:t>
      </w:r>
    </w:p>
    <w:p w14:paraId="43B6F11A" w14:textId="77777777" w:rsidR="00260495" w:rsidRPr="004E68ED" w:rsidRDefault="00260495">
      <w:pPr>
        <w:rPr>
          <w:lang w:val="en-GB"/>
        </w:rPr>
      </w:pPr>
    </w:p>
    <w:p w14:paraId="5C4C3EDF" w14:textId="309C13EB" w:rsidR="00260495" w:rsidRPr="004E68ED" w:rsidRDefault="00260495" w:rsidP="008F5773">
      <w:pPr>
        <w:pStyle w:val="Heading1"/>
      </w:pPr>
      <w:r w:rsidRPr="004E68ED">
        <w:t>in view of the state aid</w:t>
      </w:r>
      <w:r w:rsidR="008F5773" w:rsidRPr="004E68ED">
        <w:t xml:space="preserve"> framework post-2020, calls for an increase in the level of permissible state aid</w:t>
      </w:r>
      <w:r w:rsidR="00714942" w:rsidRPr="004E68ED">
        <w:t>, and subsequent adaptation of the Energy Taxation Directive to promote low emission fuels. Sufficient</w:t>
      </w:r>
      <w:r w:rsidRPr="004E68ED">
        <w:t xml:space="preserve"> flexibility </w:t>
      </w:r>
      <w:r w:rsidR="00714942" w:rsidRPr="004E68ED">
        <w:t xml:space="preserve">and a technology neutral approach, with regards to sustainability and reduced emissions, must be applied </w:t>
      </w:r>
      <w:r w:rsidRPr="004E68ED">
        <w:t xml:space="preserve">for </w:t>
      </w:r>
      <w:r w:rsidR="00714942" w:rsidRPr="004E68ED">
        <w:t xml:space="preserve">regulation and </w:t>
      </w:r>
      <w:r w:rsidRPr="004E68ED">
        <w:t>projects re</w:t>
      </w:r>
      <w:r w:rsidR="00BF5209" w:rsidRPr="004E68ED">
        <w:t>lated to the energy transition</w:t>
      </w:r>
      <w:r w:rsidRPr="004E68ED">
        <w:t>;</w:t>
      </w:r>
      <w:r w:rsidR="008F5773" w:rsidRPr="004E68ED">
        <w:t xml:space="preserve"> </w:t>
      </w:r>
    </w:p>
    <w:p w14:paraId="7414D556" w14:textId="77777777" w:rsidR="00DA4E23" w:rsidRPr="004E68ED" w:rsidRDefault="00DA4E23">
      <w:pPr>
        <w:rPr>
          <w:lang w:val="en-GB"/>
        </w:rPr>
      </w:pPr>
    </w:p>
    <w:p w14:paraId="5E494CC3" w14:textId="77777777" w:rsidR="00DA4E23" w:rsidRPr="004E68ED" w:rsidRDefault="00DA4E23" w:rsidP="00304502">
      <w:pPr>
        <w:pStyle w:val="Heading1"/>
        <w:keepNext/>
        <w:numPr>
          <w:ilvl w:val="0"/>
          <w:numId w:val="0"/>
        </w:numPr>
        <w:rPr>
          <w:b/>
          <w:i/>
        </w:rPr>
      </w:pPr>
      <w:r w:rsidRPr="004E68ED">
        <w:rPr>
          <w:b/>
          <w:i/>
        </w:rPr>
        <w:t xml:space="preserve">Direct communication with the citizens about the benefits of the Green Deal </w:t>
      </w:r>
    </w:p>
    <w:p w14:paraId="3D12ACE2" w14:textId="77777777" w:rsidR="00DA4E23" w:rsidRPr="004E68ED" w:rsidRDefault="00DA4E23" w:rsidP="00304502">
      <w:pPr>
        <w:keepNext/>
        <w:rPr>
          <w:lang w:val="en-GB"/>
        </w:rPr>
      </w:pPr>
    </w:p>
    <w:p w14:paraId="107F1DFD" w14:textId="1F609724" w:rsidR="00BF5209" w:rsidRPr="004E68ED" w:rsidRDefault="00DA4E23">
      <w:pPr>
        <w:pStyle w:val="Heading1"/>
      </w:pPr>
      <w:r w:rsidRPr="004E68ED">
        <w:t xml:space="preserve">proposes </w:t>
      </w:r>
      <w:r w:rsidR="002B613C" w:rsidRPr="004E68ED">
        <w:t>boosting</w:t>
      </w:r>
      <w:r w:rsidRPr="004E68ED">
        <w:t xml:space="preserve"> the information campaigns and </w:t>
      </w:r>
      <w:r w:rsidR="00E40267" w:rsidRPr="004E68ED">
        <w:t xml:space="preserve">direct </w:t>
      </w:r>
      <w:r w:rsidRPr="004E68ED">
        <w:t xml:space="preserve">dialogues </w:t>
      </w:r>
      <w:r w:rsidR="00E40267" w:rsidRPr="004E68ED">
        <w:t xml:space="preserve">with citizens </w:t>
      </w:r>
      <w:r w:rsidRPr="004E68ED">
        <w:t>to raise awareness o</w:t>
      </w:r>
      <w:r w:rsidR="000F260D" w:rsidRPr="004E68ED">
        <w:t>f</w:t>
      </w:r>
      <w:r w:rsidRPr="004E68ED">
        <w:t xml:space="preserve"> the importance of a transition to more sustainable societies, healthier local communities and </w:t>
      </w:r>
      <w:r w:rsidRPr="004E68ED">
        <w:rPr>
          <w:lang w:eastAsia="fr-BE"/>
        </w:rPr>
        <w:t>more</w:t>
      </w:r>
      <w:r w:rsidRPr="004E68ED">
        <w:t xml:space="preserve"> competitive local economies; invites the Commission to co-organise a</w:t>
      </w:r>
      <w:r w:rsidR="00BF5209" w:rsidRPr="004E68ED">
        <w:t xml:space="preserve"> </w:t>
      </w:r>
      <w:r w:rsidRPr="004E68ED">
        <w:t xml:space="preserve">series of Citizens Dialogues </w:t>
      </w:r>
      <w:r w:rsidR="000F260D" w:rsidRPr="004E68ED">
        <w:t xml:space="preserve">with the CoR </w:t>
      </w:r>
      <w:r w:rsidRPr="004E68ED">
        <w:t xml:space="preserve">to </w:t>
      </w:r>
      <w:r w:rsidR="00A03A32" w:rsidRPr="004E68ED">
        <w:t>present</w:t>
      </w:r>
      <w:r w:rsidRPr="004E68ED">
        <w:t xml:space="preserve"> the added value of the Green Deal and illustrate concrete results </w:t>
      </w:r>
      <w:r w:rsidR="00703050" w:rsidRPr="004E68ED">
        <w:t>in</w:t>
      </w:r>
      <w:r w:rsidR="00A25E91" w:rsidRPr="004E68ED">
        <w:t xml:space="preserve"> citizens</w:t>
      </w:r>
      <w:r w:rsidR="00703050" w:rsidRPr="004E68ED">
        <w:t>' daily lives</w:t>
      </w:r>
      <w:r w:rsidR="00BF5209" w:rsidRPr="004E68ED">
        <w:t>;</w:t>
      </w:r>
    </w:p>
    <w:p w14:paraId="77AE3C1D" w14:textId="77777777" w:rsidR="00EA1C46" w:rsidRPr="004E68ED" w:rsidRDefault="00EA1C46">
      <w:pPr>
        <w:rPr>
          <w:lang w:val="en-GB"/>
        </w:rPr>
      </w:pPr>
    </w:p>
    <w:p w14:paraId="72451021" w14:textId="2698178B" w:rsidR="000777C2" w:rsidRPr="004E68ED" w:rsidRDefault="00BF5209" w:rsidP="00304502">
      <w:pPr>
        <w:pStyle w:val="Heading1"/>
        <w:keepNext/>
      </w:pPr>
      <w:r w:rsidRPr="004E68ED">
        <w:t xml:space="preserve">instructs </w:t>
      </w:r>
      <w:r w:rsidR="00171906" w:rsidRPr="004E68ED">
        <w:t>its</w:t>
      </w:r>
      <w:r w:rsidRPr="004E68ED">
        <w:t xml:space="preserve"> </w:t>
      </w:r>
      <w:r w:rsidR="006C4C0B" w:rsidRPr="004E68ED">
        <w:t>p</w:t>
      </w:r>
      <w:r w:rsidRPr="004E68ED">
        <w:t xml:space="preserve">resident to forward this resolution to the European Commission, the European Parliament, the Finnish, Croatian and German </w:t>
      </w:r>
      <w:r w:rsidR="009A73DF" w:rsidRPr="004E68ED">
        <w:t>p</w:t>
      </w:r>
      <w:r w:rsidRPr="004E68ED">
        <w:t>residenc</w:t>
      </w:r>
      <w:r w:rsidR="006C4C0B" w:rsidRPr="004E68ED">
        <w:t>ies</w:t>
      </w:r>
      <w:r w:rsidRPr="004E68ED">
        <w:t xml:space="preserve"> of the Council and the </w:t>
      </w:r>
      <w:r w:rsidR="00171906" w:rsidRPr="004E68ED">
        <w:t>P</w:t>
      </w:r>
      <w:r w:rsidRPr="004E68ED">
        <w:t>resident of the European Council.</w:t>
      </w:r>
      <w:r w:rsidR="00DA4E23" w:rsidRPr="004E68ED">
        <w:t xml:space="preserve"> </w:t>
      </w:r>
    </w:p>
    <w:p w14:paraId="5E88BBE5" w14:textId="77777777" w:rsidR="00EE2105" w:rsidRPr="004E68ED" w:rsidRDefault="00EE2105">
      <w:pPr>
        <w:keepNext/>
        <w:rPr>
          <w:lang w:val="en-GB"/>
        </w:rPr>
      </w:pPr>
    </w:p>
    <w:p w14:paraId="011DD0F9" w14:textId="6A92C792" w:rsidR="00240CE4" w:rsidRPr="004E68ED" w:rsidRDefault="004D69FE">
      <w:pPr>
        <w:keepNext/>
        <w:tabs>
          <w:tab w:val="center" w:pos="4535"/>
        </w:tabs>
        <w:rPr>
          <w:rFonts w:eastAsia="Arial Unicode MS"/>
          <w:lang w:val="en-GB"/>
        </w:rPr>
      </w:pPr>
      <w:r w:rsidRPr="004E68ED">
        <w:rPr>
          <w:rFonts w:eastAsia="Arial Unicode MS"/>
          <w:lang w:val="en-GB"/>
        </w:rPr>
        <w:t>Brussels,</w:t>
      </w:r>
      <w:r w:rsidR="001E38BB" w:rsidRPr="004E68ED">
        <w:rPr>
          <w:rFonts w:eastAsia="Arial Unicode MS"/>
          <w:lang w:val="en-GB"/>
        </w:rPr>
        <w:t xml:space="preserve"> </w:t>
      </w:r>
      <w:r w:rsidR="00A3087D" w:rsidRPr="004E68ED">
        <w:rPr>
          <w:rFonts w:eastAsia="Arial Unicode MS"/>
          <w:lang w:val="en-GB"/>
        </w:rPr>
        <w:t>5 December 2019</w:t>
      </w:r>
    </w:p>
    <w:p w14:paraId="2F0A5367" w14:textId="77777777" w:rsidR="00F179AA" w:rsidRPr="004E68ED" w:rsidRDefault="00F179AA">
      <w:pPr>
        <w:keepNext/>
        <w:tabs>
          <w:tab w:val="center" w:pos="4535"/>
        </w:tabs>
        <w:rPr>
          <w:rFonts w:eastAsia="Arial Unicode MS"/>
          <w:lang w:val="en-GB"/>
        </w:rPr>
      </w:pPr>
    </w:p>
    <w:tbl>
      <w:tblPr>
        <w:tblW w:w="5000" w:type="pct"/>
        <w:tblLayout w:type="fixed"/>
        <w:tblLook w:val="0000" w:firstRow="0" w:lastRow="0" w:firstColumn="0" w:lastColumn="0" w:noHBand="0" w:noVBand="0"/>
      </w:tblPr>
      <w:tblGrid>
        <w:gridCol w:w="4644"/>
        <w:gridCol w:w="4645"/>
      </w:tblGrid>
      <w:tr w:rsidR="0023173A" w:rsidRPr="004E68ED" w14:paraId="03F49B9A" w14:textId="77777777" w:rsidTr="2DBADD9F">
        <w:trPr>
          <w:cantSplit/>
        </w:trPr>
        <w:tc>
          <w:tcPr>
            <w:tcW w:w="2500" w:type="pct"/>
          </w:tcPr>
          <w:p w14:paraId="3A2E676B" w14:textId="77777777" w:rsidR="004D69FE" w:rsidRPr="004E68ED" w:rsidRDefault="004D69FE">
            <w:pPr>
              <w:keepNext/>
              <w:jc w:val="center"/>
              <w:rPr>
                <w:rFonts w:eastAsia="Arial Unicode MS"/>
                <w:lang w:val="en-GB" w:eastAsia="zh-CN"/>
              </w:rPr>
            </w:pPr>
            <w:r w:rsidRPr="004E68ED">
              <w:rPr>
                <w:rFonts w:eastAsia="Arial Unicode MS"/>
                <w:lang w:val="en-GB"/>
              </w:rPr>
              <w:t xml:space="preserve">The </w:t>
            </w:r>
            <w:r w:rsidR="00666A71" w:rsidRPr="004E68ED">
              <w:rPr>
                <w:rFonts w:eastAsia="Arial Unicode MS"/>
                <w:lang w:val="en-GB"/>
              </w:rPr>
              <w:t>P</w:t>
            </w:r>
            <w:r w:rsidR="00757977" w:rsidRPr="004E68ED">
              <w:rPr>
                <w:rFonts w:eastAsia="Arial Unicode MS"/>
                <w:lang w:val="en-GB"/>
              </w:rPr>
              <w:t xml:space="preserve">resident </w:t>
            </w:r>
            <w:r w:rsidRPr="004E68ED">
              <w:rPr>
                <w:rFonts w:eastAsia="Arial Unicode MS"/>
                <w:lang w:val="en-GB"/>
              </w:rPr>
              <w:t>of the</w:t>
            </w:r>
            <w:r w:rsidRPr="004E68ED">
              <w:rPr>
                <w:rFonts w:eastAsia="Arial Unicode MS"/>
                <w:lang w:val="en-GB"/>
              </w:rPr>
              <w:br/>
              <w:t>European Committee of the Regions</w:t>
            </w:r>
            <w:r w:rsidR="00B20DD4" w:rsidRPr="004E68ED">
              <w:rPr>
                <w:rFonts w:eastAsia="Arial Unicode MS"/>
                <w:lang w:val="en-GB"/>
              </w:rPr>
              <w:br/>
            </w:r>
            <w:r w:rsidR="00B20DD4" w:rsidRPr="004E68ED">
              <w:rPr>
                <w:rFonts w:eastAsia="Arial Unicode MS"/>
                <w:lang w:val="en-GB"/>
              </w:rPr>
              <w:br/>
            </w:r>
            <w:r w:rsidR="00B20DD4" w:rsidRPr="004E68ED">
              <w:rPr>
                <w:rFonts w:eastAsia="Arial Unicode MS"/>
                <w:lang w:val="en-GB"/>
              </w:rPr>
              <w:br/>
            </w:r>
            <w:r w:rsidR="00B20DD4" w:rsidRPr="004E68ED">
              <w:rPr>
                <w:rFonts w:eastAsia="Arial Unicode MS"/>
                <w:lang w:val="en-GB"/>
              </w:rPr>
              <w:br/>
            </w:r>
            <w:r w:rsidR="00B20DD4" w:rsidRPr="004E68ED">
              <w:rPr>
                <w:rFonts w:eastAsia="Arial Unicode MS"/>
                <w:lang w:val="en-GB"/>
              </w:rPr>
              <w:br/>
            </w:r>
            <w:r w:rsidR="004D07A4" w:rsidRPr="004E68ED">
              <w:rPr>
                <w:rFonts w:eastAsia="Arial Unicode MS"/>
                <w:lang w:val="en-GB"/>
              </w:rPr>
              <w:t>Karl-Heinz Lambertz</w:t>
            </w:r>
          </w:p>
        </w:tc>
        <w:tc>
          <w:tcPr>
            <w:tcW w:w="2500" w:type="pct"/>
          </w:tcPr>
          <w:p w14:paraId="214234E9" w14:textId="77777777" w:rsidR="004D69FE" w:rsidRPr="004E68ED" w:rsidRDefault="004D69FE">
            <w:pPr>
              <w:keepNext/>
              <w:jc w:val="center"/>
              <w:rPr>
                <w:rFonts w:eastAsia="Arial Unicode MS"/>
                <w:lang w:val="en-GB" w:eastAsia="zh-CN"/>
              </w:rPr>
            </w:pPr>
          </w:p>
        </w:tc>
      </w:tr>
    </w:tbl>
    <w:p w14:paraId="5A0204F6" w14:textId="77777777" w:rsidR="00723E32" w:rsidRPr="004E68ED" w:rsidRDefault="00723E32" w:rsidP="00C72EBB">
      <w:pPr>
        <w:keepNext/>
        <w:spacing w:line="240" w:lineRule="auto"/>
        <w:jc w:val="center"/>
        <w:rPr>
          <w:lang w:val="en-GB"/>
        </w:rPr>
      </w:pPr>
    </w:p>
    <w:p w14:paraId="04838326" w14:textId="051F9BC5" w:rsidR="00F179AA" w:rsidRPr="004E68ED" w:rsidRDefault="00F179AA" w:rsidP="00C72EBB">
      <w:pPr>
        <w:overflowPunct w:val="0"/>
        <w:autoSpaceDE w:val="0"/>
        <w:autoSpaceDN w:val="0"/>
        <w:adjustRightInd w:val="0"/>
        <w:spacing w:line="240" w:lineRule="auto"/>
        <w:jc w:val="center"/>
        <w:textAlignment w:val="baseline"/>
        <w:rPr>
          <w:lang w:val="en-GB"/>
        </w:rPr>
      </w:pPr>
      <w:r w:rsidRPr="004E68ED">
        <w:rPr>
          <w:lang w:val="en-GB"/>
        </w:rPr>
        <w:t>_____________</w:t>
      </w:r>
    </w:p>
    <w:sectPr w:rsidR="00F179AA" w:rsidRPr="004E68ED" w:rsidSect="004E68ED">
      <w:headerReference w:type="even" r:id="rId17"/>
      <w:headerReference w:type="default" r:id="rId18"/>
      <w:footerReference w:type="even" r:id="rId19"/>
      <w:footerReference w:type="default" r:id="rId20"/>
      <w:headerReference w:type="first" r:id="rId21"/>
      <w:footerReference w:type="first" r:id="rId22"/>
      <w:pgSz w:w="11907" w:h="16839" w:code="9"/>
      <w:pgMar w:top="1417" w:right="1417" w:bottom="1417" w:left="1417" w:header="709" w:footer="709" w:gutter="0"/>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BE94E7" w16cid:durableId="2152965B"/>
  <w16cid:commentId w16cid:paraId="63630C7A" w16cid:durableId="21529738"/>
  <w16cid:commentId w16cid:paraId="69E284C0" w16cid:durableId="2152999C"/>
  <w16cid:commentId w16cid:paraId="320BB130" w16cid:durableId="21529A4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5A0328" w14:textId="77777777" w:rsidR="00D377F7" w:rsidRDefault="00D377F7">
      <w:r>
        <w:separator/>
      </w:r>
    </w:p>
  </w:endnote>
  <w:endnote w:type="continuationSeparator" w:id="0">
    <w:p w14:paraId="6109B6A6" w14:textId="77777777" w:rsidR="00D377F7" w:rsidRDefault="00D377F7">
      <w:r>
        <w:continuationSeparator/>
      </w:r>
    </w:p>
  </w:endnote>
  <w:endnote w:type="continuationNotice" w:id="1">
    <w:p w14:paraId="3C181ECC" w14:textId="77777777" w:rsidR="00D377F7" w:rsidRDefault="00D377F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D79F6" w14:textId="1E57B8B7" w:rsidR="00B41513" w:rsidRPr="004E68ED" w:rsidRDefault="004E68ED" w:rsidP="00B41513">
    <w:pPr>
      <w:pStyle w:val="Footer"/>
      <w:spacing w:after="120"/>
    </w:pPr>
    <w:r>
      <w:t xml:space="preserve">COR-2019-04351-00-00-RES-TRA (EN) </w:t>
    </w:r>
    <w:r>
      <w:fldChar w:fldCharType="begin"/>
    </w:r>
    <w:r>
      <w:instrText xml:space="preserve"> PAGE  \* Arabic  \* MERGEFORMAT </w:instrText>
    </w:r>
    <w:r>
      <w:fldChar w:fldCharType="separate"/>
    </w:r>
    <w:r w:rsidR="003877CA">
      <w:rPr>
        <w:noProof/>
      </w:rPr>
      <w:t>1</w:t>
    </w:r>
    <w:r>
      <w:fldChar w:fldCharType="end"/>
    </w:r>
    <w:r>
      <w:t>/</w:t>
    </w:r>
    <w:r>
      <w:fldChar w:fldCharType="begin"/>
    </w:r>
    <w:r>
      <w:instrText xml:space="preserve"> NUMPAGES </w:instrText>
    </w:r>
    <w:r>
      <w:fldChar w:fldCharType="separate"/>
    </w:r>
    <w:r w:rsidR="003877CA">
      <w:rPr>
        <w:noProof/>
      </w:rPr>
      <w:t>1</w:t>
    </w:r>
    <w:r>
      <w:fldChar w:fldCharType="end"/>
    </w:r>
    <w:r w:rsidR="00B41513" w:rsidRPr="00884617">
      <w:rPr>
        <w:noProof/>
      </w:rPr>
      <w:drawing>
        <wp:anchor distT="0" distB="0" distL="114300" distR="114300" simplePos="0" relativeHeight="251659264" behindDoc="0" locked="0" layoutInCell="0" allowOverlap="0" wp14:anchorId="49F6DD9E" wp14:editId="27D85A35">
          <wp:simplePos x="0" y="0"/>
          <wp:positionH relativeFrom="margin">
            <wp:posOffset>0</wp:posOffset>
          </wp:positionH>
          <wp:positionV relativeFrom="page">
            <wp:posOffset>10188906</wp:posOffset>
          </wp:positionV>
          <wp:extent cx="5752465" cy="279377"/>
          <wp:effectExtent l="0" t="0" r="0" b="6985"/>
          <wp:wrapNone/>
          <wp:docPr id="6" name="Picture 6" descr="C:\Users\mreg\Music\_New CoR logo\New LOGO CoR\Address\CoR letterhead top banner - address FR-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reg\Music\_New CoR logo\New LOGO CoR\Address\CoR letterhead top banner - address FR-N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2465" cy="279377"/>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4D773" w14:textId="77777777" w:rsidR="005B01B0" w:rsidRPr="004E68ED" w:rsidRDefault="005B01B0" w:rsidP="004E68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AFEC8" w14:textId="1E3E910D" w:rsidR="005B01B0" w:rsidRPr="004E68ED" w:rsidRDefault="004E68ED" w:rsidP="004E68ED">
    <w:pPr>
      <w:pStyle w:val="Footer"/>
    </w:pPr>
    <w:r>
      <w:t xml:space="preserve">COR-2019-04351-00-00-RES-TRA (EN) </w:t>
    </w:r>
    <w:r>
      <w:fldChar w:fldCharType="begin"/>
    </w:r>
    <w:r>
      <w:instrText xml:space="preserve"> PAGE  \* Arabic  \* MERGEFORMAT </w:instrText>
    </w:r>
    <w:r>
      <w:fldChar w:fldCharType="separate"/>
    </w:r>
    <w:r w:rsidR="003877CA">
      <w:rPr>
        <w:noProof/>
      </w:rPr>
      <w:t>4</w:t>
    </w:r>
    <w:r>
      <w:fldChar w:fldCharType="end"/>
    </w:r>
    <w:r>
      <w:t>/</w:t>
    </w:r>
    <w:r>
      <w:fldChar w:fldCharType="begin"/>
    </w:r>
    <w:r>
      <w:instrText xml:space="preserve"> NUMPAGES </w:instrText>
    </w:r>
    <w:r>
      <w:fldChar w:fldCharType="separate"/>
    </w:r>
    <w:r w:rsidR="003877CA">
      <w:rPr>
        <w:noProof/>
      </w:rPr>
      <w:t>4</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995A8" w14:textId="77777777" w:rsidR="005B01B0" w:rsidRPr="004E68ED" w:rsidRDefault="005B01B0" w:rsidP="004E68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E67350" w14:textId="77777777" w:rsidR="00D377F7" w:rsidRDefault="00D377F7">
      <w:r>
        <w:separator/>
      </w:r>
    </w:p>
  </w:footnote>
  <w:footnote w:type="continuationSeparator" w:id="0">
    <w:p w14:paraId="2D192EE8" w14:textId="77777777" w:rsidR="00D377F7" w:rsidRDefault="00D377F7">
      <w:r>
        <w:continuationSeparator/>
      </w:r>
    </w:p>
  </w:footnote>
  <w:footnote w:type="continuationNotice" w:id="1">
    <w:p w14:paraId="5F2833F3" w14:textId="77777777" w:rsidR="00D377F7" w:rsidRDefault="00D377F7">
      <w:pPr>
        <w:spacing w:line="240" w:lineRule="auto"/>
      </w:pPr>
    </w:p>
  </w:footnote>
  <w:footnote w:id="2">
    <w:p w14:paraId="3BD42DA2" w14:textId="77777777" w:rsidR="005B01B0" w:rsidRPr="002E0BC0" w:rsidRDefault="005B01B0">
      <w:pPr>
        <w:pStyle w:val="FootnoteText"/>
        <w:rPr>
          <w:lang w:val="en-GB"/>
        </w:rPr>
      </w:pPr>
      <w:r w:rsidRPr="002A3C5E">
        <w:rPr>
          <w:rStyle w:val="FootnoteReference"/>
          <w:lang w:val="en-GB"/>
        </w:rPr>
        <w:footnoteRef/>
      </w:r>
      <w:r w:rsidRPr="002A3C5E">
        <w:rPr>
          <w:lang w:val="en-GB"/>
        </w:rPr>
        <w:t xml:space="preserve"> </w:t>
      </w:r>
      <w:r w:rsidRPr="002A3C5E">
        <w:rPr>
          <w:lang w:val="en-GB"/>
        </w:rPr>
        <w:tab/>
      </w:r>
      <w:r w:rsidRPr="005F5F60">
        <w:t>CoR (2018) 923</w:t>
      </w:r>
    </w:p>
  </w:footnote>
  <w:footnote w:id="3">
    <w:p w14:paraId="55E7763E" w14:textId="59C2DD31" w:rsidR="005B01B0" w:rsidRPr="003F4416" w:rsidRDefault="005B01B0" w:rsidP="00400B12">
      <w:pPr>
        <w:pStyle w:val="FootnoteText"/>
        <w:rPr>
          <w:lang w:val="en-GB"/>
        </w:rPr>
      </w:pPr>
      <w:r w:rsidRPr="003F4416">
        <w:rPr>
          <w:rStyle w:val="FootnoteReference"/>
          <w:lang w:val="en-GB"/>
        </w:rPr>
        <w:footnoteRef/>
      </w:r>
      <w:r w:rsidRPr="002E0BC0">
        <w:rPr>
          <w:lang w:val="en-GB"/>
        </w:rPr>
        <w:tab/>
      </w:r>
      <w:hyperlink r:id="rId1" w:history="1">
        <w:r w:rsidRPr="00827A6B">
          <w:rPr>
            <w:rStyle w:val="Hyperlink"/>
          </w:rPr>
          <w:t>https://cor.europa.eu/en/our-work/Pages/network-of-regional-hubs.aspx</w:t>
        </w:r>
      </w:hyperlink>
    </w:p>
  </w:footnote>
  <w:footnote w:id="4">
    <w:p w14:paraId="2BB012EC" w14:textId="77777777" w:rsidR="005B01B0" w:rsidRPr="002E0BC0" w:rsidRDefault="005B01B0" w:rsidP="009006D0">
      <w:pPr>
        <w:pStyle w:val="FootnoteText"/>
        <w:rPr>
          <w:lang w:val="en-GB"/>
        </w:rPr>
      </w:pPr>
      <w:r w:rsidRPr="002E0BC0">
        <w:rPr>
          <w:rStyle w:val="FootnoteReference"/>
          <w:lang w:val="en-GB"/>
        </w:rPr>
        <w:footnoteRef/>
      </w:r>
      <w:r w:rsidRPr="002E0BC0">
        <w:rPr>
          <w:lang w:val="en-GB"/>
        </w:rPr>
        <w:t xml:space="preserve"> </w:t>
      </w:r>
      <w:r w:rsidRPr="002E0BC0">
        <w:rPr>
          <w:lang w:val="en-GB"/>
        </w:rPr>
        <w:tab/>
      </w:r>
      <w:hyperlink r:id="rId2" w:history="1">
        <w:r w:rsidRPr="002E0BC0">
          <w:rPr>
            <w:rStyle w:val="Hyperlink"/>
            <w:lang w:val="en-GB"/>
          </w:rPr>
          <w:t>CoR (2018) 6135</w:t>
        </w:r>
      </w:hyperlink>
    </w:p>
  </w:footnote>
  <w:footnote w:id="5">
    <w:p w14:paraId="1CD2BEE1" w14:textId="77777777" w:rsidR="005B01B0" w:rsidRPr="002E0BC0" w:rsidRDefault="005B01B0" w:rsidP="00196ECE">
      <w:pPr>
        <w:pStyle w:val="FootnoteText"/>
        <w:rPr>
          <w:lang w:val="en-GB"/>
        </w:rPr>
      </w:pPr>
      <w:r w:rsidRPr="002E0BC0">
        <w:rPr>
          <w:rStyle w:val="FootnoteReference"/>
          <w:lang w:val="en-GB"/>
        </w:rPr>
        <w:footnoteRef/>
      </w:r>
      <w:r w:rsidRPr="002E0BC0">
        <w:rPr>
          <w:lang w:val="en-GB"/>
        </w:rPr>
        <w:t xml:space="preserve"> </w:t>
      </w:r>
      <w:r>
        <w:rPr>
          <w:lang w:val="en-GB"/>
        </w:rPr>
        <w:tab/>
      </w:r>
      <w:hyperlink r:id="rId3" w:history="1">
        <w:r w:rsidRPr="002E0BC0">
          <w:rPr>
            <w:rStyle w:val="Hyperlink"/>
            <w:lang w:val="en-GB"/>
          </w:rPr>
          <w:t>CoR (2018) 925</w:t>
        </w:r>
      </w:hyperlink>
      <w:r w:rsidRPr="005F5F60">
        <w:t xml:space="preserve"> </w:t>
      </w:r>
      <w:r w:rsidRPr="000F09F4">
        <w:t xml:space="preserve">and </w:t>
      </w:r>
      <w:hyperlink r:id="rId4" w:history="1">
        <w:r w:rsidRPr="002E0BC0">
          <w:rPr>
            <w:rStyle w:val="Hyperlink"/>
            <w:lang w:val="en-GB"/>
          </w:rPr>
          <w:t>CoR (2018) 3652</w:t>
        </w:r>
      </w:hyperlink>
    </w:p>
  </w:footnote>
  <w:footnote w:id="6">
    <w:p w14:paraId="5BF17ABB" w14:textId="77777777" w:rsidR="005B01B0" w:rsidRPr="002E0BC0" w:rsidRDefault="005B01B0" w:rsidP="00286E5F">
      <w:pPr>
        <w:pStyle w:val="FootnoteText"/>
        <w:rPr>
          <w:lang w:val="en-GB"/>
        </w:rPr>
      </w:pPr>
      <w:r w:rsidRPr="002E0BC0">
        <w:rPr>
          <w:rStyle w:val="FootnoteReference"/>
          <w:lang w:val="en-GB"/>
        </w:rPr>
        <w:footnoteRef/>
      </w:r>
      <w:r w:rsidRPr="002E0BC0">
        <w:rPr>
          <w:lang w:val="en-GB"/>
        </w:rPr>
        <w:t xml:space="preserve"> </w:t>
      </w:r>
      <w:r w:rsidRPr="002E0BC0">
        <w:rPr>
          <w:lang w:val="en-GB"/>
        </w:rPr>
        <w:tab/>
      </w:r>
      <w:hyperlink r:id="rId5" w:history="1">
        <w:r w:rsidRPr="002E0BC0">
          <w:rPr>
            <w:rStyle w:val="Hyperlink"/>
            <w:lang w:val="en-GB"/>
          </w:rPr>
          <w:t>CoR (2019) 973</w:t>
        </w:r>
      </w:hyperlink>
    </w:p>
  </w:footnote>
  <w:footnote w:id="7">
    <w:p w14:paraId="59FE2C3A" w14:textId="77777777" w:rsidR="005B01B0" w:rsidRPr="002E0BC0" w:rsidRDefault="005B01B0" w:rsidP="00286E5F">
      <w:pPr>
        <w:pStyle w:val="FootnoteText"/>
        <w:rPr>
          <w:lang w:val="en-GB"/>
        </w:rPr>
      </w:pPr>
      <w:r w:rsidRPr="002E0BC0">
        <w:rPr>
          <w:rStyle w:val="FootnoteReference"/>
          <w:lang w:val="en-GB"/>
        </w:rPr>
        <w:footnoteRef/>
      </w:r>
      <w:r w:rsidRPr="002E0BC0">
        <w:rPr>
          <w:lang w:val="en-GB"/>
        </w:rPr>
        <w:t xml:space="preserve"> </w:t>
      </w:r>
      <w:r w:rsidRPr="002E0BC0">
        <w:rPr>
          <w:lang w:val="en-GB"/>
        </w:rPr>
        <w:tab/>
      </w:r>
      <w:hyperlink r:id="rId6" w:history="1">
        <w:r w:rsidRPr="002E0BC0">
          <w:rPr>
            <w:rStyle w:val="Hyperlink"/>
            <w:lang w:val="en-GB"/>
          </w:rPr>
          <w:t>CoR (2019) 1672</w:t>
        </w:r>
      </w:hyperlink>
    </w:p>
  </w:footnote>
  <w:footnote w:id="8">
    <w:p w14:paraId="06F3942D" w14:textId="77777777" w:rsidR="005B01B0" w:rsidRPr="002E0BC0" w:rsidRDefault="005B01B0" w:rsidP="002A3C5E">
      <w:pPr>
        <w:pStyle w:val="FootnoteText"/>
        <w:rPr>
          <w:sz w:val="18"/>
          <w:szCs w:val="18"/>
          <w:lang w:val="en-GB"/>
        </w:rPr>
      </w:pPr>
      <w:r w:rsidRPr="00304502">
        <w:rPr>
          <w:rStyle w:val="FootnoteReference"/>
          <w:szCs w:val="24"/>
          <w:lang w:val="en-GB"/>
        </w:rPr>
        <w:footnoteRef/>
      </w:r>
      <w:r w:rsidRPr="002E0BC0">
        <w:rPr>
          <w:sz w:val="18"/>
          <w:szCs w:val="18"/>
          <w:lang w:val="en-GB"/>
        </w:rPr>
        <w:t xml:space="preserve"> </w:t>
      </w:r>
      <w:r>
        <w:rPr>
          <w:sz w:val="18"/>
          <w:szCs w:val="18"/>
          <w:lang w:val="en-GB"/>
        </w:rPr>
        <w:tab/>
      </w:r>
      <w:r w:rsidRPr="002A3C5E">
        <w:t xml:space="preserve">European Court of Auditors: Landscape review of EU Action on Energy and Climate Change, 20 September 2017 </w:t>
      </w:r>
      <w:hyperlink r:id="rId7" w:history="1">
        <w:r w:rsidRPr="00795BD0">
          <w:rPr>
            <w:rStyle w:val="Hyperlink"/>
          </w:rPr>
          <w:t>https://op.europa.eu/webpub/eca/lr-energy-and-climate/en/</w:t>
        </w:r>
      </w:hyperlink>
    </w:p>
  </w:footnote>
  <w:footnote w:id="9">
    <w:p w14:paraId="4988336D" w14:textId="4DF84AB1" w:rsidR="005B01B0" w:rsidRPr="002E0BC0" w:rsidRDefault="005B01B0" w:rsidP="00A1395E">
      <w:pPr>
        <w:pStyle w:val="FootnoteText"/>
        <w:rPr>
          <w:lang w:val="en-GB"/>
        </w:rPr>
      </w:pPr>
      <w:r w:rsidRPr="002E0BC0">
        <w:rPr>
          <w:rStyle w:val="FootnoteReference"/>
          <w:lang w:val="en-GB"/>
        </w:rPr>
        <w:footnoteRef/>
      </w:r>
      <w:r w:rsidRPr="002E0BC0">
        <w:rPr>
          <w:lang w:val="en-GB"/>
        </w:rPr>
        <w:t xml:space="preserve"> </w:t>
      </w:r>
      <w:r w:rsidRPr="002E0BC0">
        <w:rPr>
          <w:lang w:val="en-GB"/>
        </w:rPr>
        <w:tab/>
        <w:t>See CoR opinion of 6 December 2018 by Mr Tilo Gundlack (PES/DE)</w:t>
      </w:r>
      <w:r>
        <w:rPr>
          <w:lang w:val="en-GB"/>
        </w:rPr>
        <w:t>.</w:t>
      </w:r>
    </w:p>
  </w:footnote>
  <w:footnote w:id="10">
    <w:p w14:paraId="0929B577" w14:textId="1D4AD056" w:rsidR="005B01B0" w:rsidRPr="002E0BC0" w:rsidRDefault="005B01B0" w:rsidP="2DBADD9F">
      <w:pPr>
        <w:pStyle w:val="FootnoteText"/>
        <w:rPr>
          <w:lang w:val="en-GB"/>
        </w:rPr>
      </w:pPr>
      <w:r w:rsidRPr="002E0BC0">
        <w:rPr>
          <w:rStyle w:val="FootnoteReference"/>
          <w:lang w:val="en-GB"/>
        </w:rPr>
        <w:footnoteRef/>
      </w:r>
      <w:r w:rsidRPr="002E0BC0">
        <w:rPr>
          <w:lang w:val="en-GB"/>
        </w:rPr>
        <w:t xml:space="preserve"> </w:t>
      </w:r>
      <w:r w:rsidRPr="002E0BC0">
        <w:rPr>
          <w:lang w:val="en-GB"/>
        </w:rPr>
        <w:tab/>
        <w:t>CoR (2019) 3887</w:t>
      </w:r>
      <w:r>
        <w:rPr>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A0BE6" w14:textId="77777777" w:rsidR="005B01B0" w:rsidRPr="004E68ED" w:rsidRDefault="005B01B0" w:rsidP="004E68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814CE" w14:textId="4503AE21" w:rsidR="005B01B0" w:rsidRPr="004E68ED" w:rsidRDefault="005B01B0" w:rsidP="004E68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93469" w14:textId="77777777" w:rsidR="005B01B0" w:rsidRPr="004E68ED" w:rsidRDefault="005B01B0" w:rsidP="004E68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2D856AC"/>
    <w:lvl w:ilvl="0">
      <w:start w:val="1"/>
      <w:numFmt w:val="decimal"/>
      <w:lvlText w:val="%1."/>
      <w:lvlJc w:val="left"/>
      <w:pPr>
        <w:tabs>
          <w:tab w:val="num" w:pos="360"/>
        </w:tabs>
        <w:ind w:left="360" w:hanging="360"/>
      </w:pPr>
    </w:lvl>
  </w:abstractNum>
  <w:abstractNum w:abstractNumId="1" w15:restartNumberingAfterBreak="0">
    <w:nsid w:val="FFFFFFFB"/>
    <w:multiLevelType w:val="multilevel"/>
    <w:tmpl w:val="8DA679E8"/>
    <w:lvl w:ilvl="0">
      <w:start w:val="1"/>
      <w:numFmt w:val="decimal"/>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2" w15:restartNumberingAfterBreak="0">
    <w:nsid w:val="005D20AA"/>
    <w:multiLevelType w:val="hybridMultilevel"/>
    <w:tmpl w:val="9560118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44201E7"/>
    <w:multiLevelType w:val="hybridMultilevel"/>
    <w:tmpl w:val="416AD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E30566"/>
    <w:multiLevelType w:val="hybridMultilevel"/>
    <w:tmpl w:val="45985796"/>
    <w:lvl w:ilvl="0" w:tplc="8BB08AF0">
      <w:start w:val="1"/>
      <w:numFmt w:val="decimal"/>
      <w:pStyle w:val="Heading1"/>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0BC114AF"/>
    <w:multiLevelType w:val="hybridMultilevel"/>
    <w:tmpl w:val="B352DA6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0BCB10A3"/>
    <w:multiLevelType w:val="hybridMultilevel"/>
    <w:tmpl w:val="BDB8D5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0D621917"/>
    <w:multiLevelType w:val="hybridMultilevel"/>
    <w:tmpl w:val="5E6E09DE"/>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8" w15:restartNumberingAfterBreak="0">
    <w:nsid w:val="0EA22037"/>
    <w:multiLevelType w:val="hybridMultilevel"/>
    <w:tmpl w:val="28EC4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C33451"/>
    <w:multiLevelType w:val="hybridMultilevel"/>
    <w:tmpl w:val="762CE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CF1558"/>
    <w:multiLevelType w:val="hybridMultilevel"/>
    <w:tmpl w:val="053ADA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9661EAA"/>
    <w:multiLevelType w:val="hybridMultilevel"/>
    <w:tmpl w:val="4DE6D16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1BFB2F3B"/>
    <w:multiLevelType w:val="hybridMultilevel"/>
    <w:tmpl w:val="338A86C8"/>
    <w:lvl w:ilvl="0" w:tplc="DCDA2BCA">
      <w:start w:val="1"/>
      <w:numFmt w:val="bullet"/>
      <w:lvlText w:val=""/>
      <w:lvlJc w:val="left"/>
      <w:pPr>
        <w:ind w:left="720" w:hanging="360"/>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1EA673AF"/>
    <w:multiLevelType w:val="hybridMultilevel"/>
    <w:tmpl w:val="96F6EE4C"/>
    <w:lvl w:ilvl="0" w:tplc="8E30532C">
      <w:start w:val="1"/>
      <w:numFmt w:val="decimal"/>
      <w:lvlText w:val="%1."/>
      <w:lvlJc w:val="left"/>
      <w:pPr>
        <w:ind w:left="720" w:hanging="360"/>
      </w:pPr>
      <w:rPr>
        <w:i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214F7C89"/>
    <w:multiLevelType w:val="hybridMultilevel"/>
    <w:tmpl w:val="DD1E7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984F51"/>
    <w:multiLevelType w:val="hybridMultilevel"/>
    <w:tmpl w:val="200A8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191261"/>
    <w:multiLevelType w:val="hybridMultilevel"/>
    <w:tmpl w:val="94F62108"/>
    <w:lvl w:ilvl="0" w:tplc="F768E55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4B45060"/>
    <w:multiLevelType w:val="hybridMultilevel"/>
    <w:tmpl w:val="226A84F2"/>
    <w:lvl w:ilvl="0" w:tplc="3F062F5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7842A99"/>
    <w:multiLevelType w:val="hybridMultilevel"/>
    <w:tmpl w:val="BBFAE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7F21AC1"/>
    <w:multiLevelType w:val="hybridMultilevel"/>
    <w:tmpl w:val="435A66CC"/>
    <w:lvl w:ilvl="0" w:tplc="0150A6EC">
      <w:start w:val="1"/>
      <w:numFmt w:val="bullet"/>
      <w:lvlRestart w:val="0"/>
      <w:lvlText w:val="-"/>
      <w:lvlJc w:val="left"/>
      <w:pPr>
        <w:tabs>
          <w:tab w:val="num" w:pos="0"/>
        </w:tabs>
        <w:ind w:left="283" w:hanging="283"/>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9E16665"/>
    <w:multiLevelType w:val="hybridMultilevel"/>
    <w:tmpl w:val="1A4AF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134C89"/>
    <w:multiLevelType w:val="hybridMultilevel"/>
    <w:tmpl w:val="1FE60E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AD97F25"/>
    <w:multiLevelType w:val="hybridMultilevel"/>
    <w:tmpl w:val="2700B5A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2B157A62"/>
    <w:multiLevelType w:val="hybridMultilevel"/>
    <w:tmpl w:val="B352DA6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317A5DF0"/>
    <w:multiLevelType w:val="hybridMultilevel"/>
    <w:tmpl w:val="22580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2907775"/>
    <w:multiLevelType w:val="singleLevel"/>
    <w:tmpl w:val="270C3A94"/>
    <w:lvl w:ilvl="0">
      <w:start w:val="1"/>
      <w:numFmt w:val="decimal"/>
      <w:lvlText w:val="%1."/>
      <w:lvlJc w:val="left"/>
      <w:pPr>
        <w:tabs>
          <w:tab w:val="num" w:pos="567"/>
        </w:tabs>
        <w:ind w:left="567" w:hanging="567"/>
      </w:pPr>
      <w:rPr>
        <w:rFonts w:hint="default"/>
        <w:b w:val="0"/>
        <w:i w:val="0"/>
        <w:color w:val="auto"/>
        <w:sz w:val="22"/>
        <w:szCs w:val="22"/>
      </w:rPr>
    </w:lvl>
  </w:abstractNum>
  <w:abstractNum w:abstractNumId="26" w15:restartNumberingAfterBreak="0">
    <w:nsid w:val="368C5C13"/>
    <w:multiLevelType w:val="hybridMultilevel"/>
    <w:tmpl w:val="229E8706"/>
    <w:lvl w:ilvl="0" w:tplc="0410000F">
      <w:start w:val="1"/>
      <w:numFmt w:val="decimal"/>
      <w:lvlText w:val="%1."/>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3B5B54DD"/>
    <w:multiLevelType w:val="hybridMultilevel"/>
    <w:tmpl w:val="DDF20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09D01F7"/>
    <w:multiLevelType w:val="hybridMultilevel"/>
    <w:tmpl w:val="3D9ACE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6125168"/>
    <w:multiLevelType w:val="hybridMultilevel"/>
    <w:tmpl w:val="6C7EB05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0" w15:restartNumberingAfterBreak="0">
    <w:nsid w:val="49EA5235"/>
    <w:multiLevelType w:val="hybridMultilevel"/>
    <w:tmpl w:val="B32C48B6"/>
    <w:lvl w:ilvl="0" w:tplc="0D0A95F2">
      <w:start w:val="1"/>
      <w:numFmt w:val="decimal"/>
      <w:lvlText w:val="%1."/>
      <w:lvlJc w:val="left"/>
      <w:pPr>
        <w:ind w:left="3195" w:hanging="360"/>
      </w:pPr>
      <w:rPr>
        <w:b w:val="0"/>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1" w15:restartNumberingAfterBreak="0">
    <w:nsid w:val="4E555CDD"/>
    <w:multiLevelType w:val="hybridMultilevel"/>
    <w:tmpl w:val="AC46756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2" w15:restartNumberingAfterBreak="0">
    <w:nsid w:val="52321584"/>
    <w:multiLevelType w:val="hybridMultilevel"/>
    <w:tmpl w:val="B16E5E34"/>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3" w15:restartNumberingAfterBreak="0">
    <w:nsid w:val="52901CB5"/>
    <w:multiLevelType w:val="hybridMultilevel"/>
    <w:tmpl w:val="E9749C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2D570E9"/>
    <w:multiLevelType w:val="hybridMultilevel"/>
    <w:tmpl w:val="12988E1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54173357"/>
    <w:multiLevelType w:val="hybridMultilevel"/>
    <w:tmpl w:val="9CE22F8E"/>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6" w15:restartNumberingAfterBreak="0">
    <w:nsid w:val="5FE22220"/>
    <w:multiLevelType w:val="hybridMultilevel"/>
    <w:tmpl w:val="E12869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10C4995"/>
    <w:multiLevelType w:val="hybridMultilevel"/>
    <w:tmpl w:val="1B4224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1FF4080"/>
    <w:multiLevelType w:val="hybridMultilevel"/>
    <w:tmpl w:val="7536094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66A341FD"/>
    <w:multiLevelType w:val="hybridMultilevel"/>
    <w:tmpl w:val="78AA9D1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67020C65"/>
    <w:multiLevelType w:val="multilevel"/>
    <w:tmpl w:val="7F14AD3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 w15:restartNumberingAfterBreak="0">
    <w:nsid w:val="6BC24041"/>
    <w:multiLevelType w:val="hybridMultilevel"/>
    <w:tmpl w:val="5808BFF6"/>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2" w15:restartNumberingAfterBreak="0">
    <w:nsid w:val="72380D35"/>
    <w:multiLevelType w:val="hybridMultilevel"/>
    <w:tmpl w:val="05D880F6"/>
    <w:lvl w:ilvl="0" w:tplc="BA0878BE">
      <w:start w:val="1"/>
      <w:numFmt w:val="decimal"/>
      <w:lvlText w:val="%1."/>
      <w:lvlJc w:val="left"/>
      <w:pPr>
        <w:ind w:left="643"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3C04AA7"/>
    <w:multiLevelType w:val="hybridMultilevel"/>
    <w:tmpl w:val="3D78A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3C26A6"/>
    <w:multiLevelType w:val="hybridMultilevel"/>
    <w:tmpl w:val="BDC4BDF0"/>
    <w:lvl w:ilvl="0" w:tplc="C33A08FA">
      <w:numFmt w:val="bullet"/>
      <w:lvlText w:val="–"/>
      <w:lvlJc w:val="left"/>
      <w:pPr>
        <w:ind w:left="720" w:hanging="360"/>
      </w:pPr>
      <w:rPr>
        <w:rFonts w:ascii="Calibri" w:eastAsia="Calibri" w:hAnsi="Calibri" w:cs="Times New Roman" w:hint="default"/>
        <w:color w:val="000000"/>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45" w15:restartNumberingAfterBreak="0">
    <w:nsid w:val="77B53B83"/>
    <w:multiLevelType w:val="hybridMultilevel"/>
    <w:tmpl w:val="BB82FE1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7C1A3C59"/>
    <w:multiLevelType w:val="hybridMultilevel"/>
    <w:tmpl w:val="A86CB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B91ECA"/>
    <w:multiLevelType w:val="multilevel"/>
    <w:tmpl w:val="B584F5F4"/>
    <w:lvl w:ilvl="0">
      <w:start w:val="1"/>
      <w:numFmt w:val="bullet"/>
      <w:lvlText w:val=""/>
      <w:lvlJc w:val="left"/>
      <w:rPr>
        <w:rFonts w:ascii="Symbol" w:hAnsi="Symbol" w:hint="default"/>
      </w:r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num w:numId="1">
    <w:abstractNumId w:val="1"/>
  </w:num>
  <w:num w:numId="2">
    <w:abstractNumId w:val="12"/>
  </w:num>
  <w:num w:numId="3">
    <w:abstractNumId w:val="30"/>
  </w:num>
  <w:num w:numId="4">
    <w:abstractNumId w:val="29"/>
  </w:num>
  <w:num w:numId="5">
    <w:abstractNumId w:val="40"/>
  </w:num>
  <w:num w:numId="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4"/>
  </w:num>
  <w:num w:numId="9">
    <w:abstractNumId w:val="13"/>
  </w:num>
  <w:num w:numId="10">
    <w:abstractNumId w:val="19"/>
  </w:num>
  <w:num w:numId="11">
    <w:abstractNumId w:val="28"/>
  </w:num>
  <w:num w:numId="12">
    <w:abstractNumId w:val="23"/>
  </w:num>
  <w:num w:numId="13">
    <w:abstractNumId w:val="5"/>
  </w:num>
  <w:num w:numId="14">
    <w:abstractNumId w:val="41"/>
  </w:num>
  <w:num w:numId="15">
    <w:abstractNumId w:val="32"/>
  </w:num>
  <w:num w:numId="16">
    <w:abstractNumId w:val="26"/>
  </w:num>
  <w:num w:numId="17">
    <w:abstractNumId w:val="1"/>
  </w:num>
  <w:num w:numId="18">
    <w:abstractNumId w:val="1"/>
  </w:num>
  <w:num w:numId="19">
    <w:abstractNumId w:val="1"/>
  </w:num>
  <w:num w:numId="20">
    <w:abstractNumId w:val="1"/>
  </w:num>
  <w:num w:numId="21">
    <w:abstractNumId w:val="1"/>
  </w:num>
  <w:num w:numId="22">
    <w:abstractNumId w:val="31"/>
  </w:num>
  <w:num w:numId="23">
    <w:abstractNumId w:val="21"/>
  </w:num>
  <w:num w:numId="24">
    <w:abstractNumId w:val="37"/>
  </w:num>
  <w:num w:numId="25">
    <w:abstractNumId w:val="18"/>
  </w:num>
  <w:num w:numId="26">
    <w:abstractNumId w:val="36"/>
  </w:num>
  <w:num w:numId="27">
    <w:abstractNumId w:val="1"/>
  </w:num>
  <w:num w:numId="28">
    <w:abstractNumId w:val="42"/>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
  </w:num>
  <w:num w:numId="45">
    <w:abstractNumId w:val="1"/>
  </w:num>
  <w:num w:numId="46">
    <w:abstractNumId w:val="1"/>
  </w:num>
  <w:num w:numId="47">
    <w:abstractNumId w:val="1"/>
  </w:num>
  <w:num w:numId="48">
    <w:abstractNumId w:val="1"/>
  </w:num>
  <w:num w:numId="49">
    <w:abstractNumId w:val="1"/>
  </w:num>
  <w:num w:numId="50">
    <w:abstractNumId w:val="1"/>
  </w:num>
  <w:num w:numId="51">
    <w:abstractNumId w:val="1"/>
  </w:num>
  <w:num w:numId="52">
    <w:abstractNumId w:val="1"/>
  </w:num>
  <w:num w:numId="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
  </w:num>
  <w:num w:numId="5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
  </w:num>
  <w:num w:numId="57">
    <w:abstractNumId w:val="1"/>
  </w:num>
  <w:num w:numId="58">
    <w:abstractNumId w:val="1"/>
  </w:num>
  <w:num w:numId="59">
    <w:abstractNumId w:val="1"/>
  </w:num>
  <w:num w:numId="60">
    <w:abstractNumId w:val="1"/>
  </w:num>
  <w:num w:numId="61">
    <w:abstractNumId w:val="1"/>
  </w:num>
  <w:num w:numId="62">
    <w:abstractNumId w:val="1"/>
  </w:num>
  <w:num w:numId="63">
    <w:abstractNumId w:val="1"/>
  </w:num>
  <w:num w:numId="64">
    <w:abstractNumId w:val="1"/>
  </w:num>
  <w:num w:numId="65">
    <w:abstractNumId w:val="1"/>
  </w:num>
  <w:num w:numId="66">
    <w:abstractNumId w:val="1"/>
  </w:num>
  <w:num w:numId="67">
    <w:abstractNumId w:val="1"/>
  </w:num>
  <w:num w:numId="68">
    <w:abstractNumId w:val="1"/>
  </w:num>
  <w:num w:numId="69">
    <w:abstractNumId w:val="1"/>
  </w:num>
  <w:num w:numId="70">
    <w:abstractNumId w:val="1"/>
  </w:num>
  <w:num w:numId="71">
    <w:abstractNumId w:val="1"/>
  </w:num>
  <w:num w:numId="72">
    <w:abstractNumId w:val="1"/>
  </w:num>
  <w:num w:numId="73">
    <w:abstractNumId w:val="11"/>
  </w:num>
  <w:num w:numId="74">
    <w:abstractNumId w:val="1"/>
  </w:num>
  <w:num w:numId="75">
    <w:abstractNumId w:val="47"/>
  </w:num>
  <w:num w:numId="76">
    <w:abstractNumId w:val="3"/>
  </w:num>
  <w:num w:numId="77">
    <w:abstractNumId w:val="24"/>
  </w:num>
  <w:num w:numId="78">
    <w:abstractNumId w:val="27"/>
  </w:num>
  <w:num w:numId="79">
    <w:abstractNumId w:val="46"/>
  </w:num>
  <w:num w:numId="80">
    <w:abstractNumId w:val="15"/>
  </w:num>
  <w:num w:numId="81">
    <w:abstractNumId w:val="20"/>
  </w:num>
  <w:num w:numId="82">
    <w:abstractNumId w:val="9"/>
  </w:num>
  <w:num w:numId="83">
    <w:abstractNumId w:val="8"/>
  </w:num>
  <w:num w:numId="84">
    <w:abstractNumId w:val="43"/>
  </w:num>
  <w:num w:numId="85">
    <w:abstractNumId w:val="14"/>
  </w:num>
  <w:num w:numId="86">
    <w:abstractNumId w:val="33"/>
  </w:num>
  <w:num w:numId="87">
    <w:abstractNumId w:val="1"/>
  </w:num>
  <w:num w:numId="88">
    <w:abstractNumId w:val="1"/>
  </w:num>
  <w:num w:numId="89">
    <w:abstractNumId w:val="1"/>
  </w:num>
  <w:num w:numId="90">
    <w:abstractNumId w:val="1"/>
  </w:num>
  <w:num w:numId="91">
    <w:abstractNumId w:val="1"/>
  </w:num>
  <w:num w:numId="92">
    <w:abstractNumId w:val="1"/>
  </w:num>
  <w:num w:numId="93">
    <w:abstractNumId w:val="1"/>
  </w:num>
  <w:num w:numId="94">
    <w:abstractNumId w:val="1"/>
  </w:num>
  <w:num w:numId="95">
    <w:abstractNumId w:val="1"/>
  </w:num>
  <w:num w:numId="96">
    <w:abstractNumId w:val="1"/>
  </w:num>
  <w:num w:numId="97">
    <w:abstractNumId w:val="1"/>
  </w:num>
  <w:num w:numId="98">
    <w:abstractNumId w:val="1"/>
  </w:num>
  <w:num w:numId="99">
    <w:abstractNumId w:val="1"/>
  </w:num>
  <w:num w:numId="100">
    <w:abstractNumId w:val="1"/>
  </w:num>
  <w:num w:numId="101">
    <w:abstractNumId w:val="1"/>
  </w:num>
  <w:num w:numId="102">
    <w:abstractNumId w:val="1"/>
  </w:num>
  <w:num w:numId="103">
    <w:abstractNumId w:val="1"/>
  </w:num>
  <w:num w:numId="104">
    <w:abstractNumId w:val="1"/>
  </w:num>
  <w:num w:numId="105">
    <w:abstractNumId w:val="1"/>
  </w:num>
  <w:num w:numId="106">
    <w:abstractNumId w:val="1"/>
  </w:num>
  <w:num w:numId="107">
    <w:abstractNumId w:val="1"/>
  </w:num>
  <w:num w:numId="108">
    <w:abstractNumId w:val="1"/>
  </w:num>
  <w:num w:numId="109">
    <w:abstractNumId w:val="1"/>
  </w:num>
  <w:num w:numId="110">
    <w:abstractNumId w:val="10"/>
  </w:num>
  <w:num w:numId="111">
    <w:abstractNumId w:val="1"/>
  </w:num>
  <w:num w:numId="112">
    <w:abstractNumId w:val="1"/>
  </w:num>
  <w:num w:numId="113">
    <w:abstractNumId w:val="1"/>
  </w:num>
  <w:num w:numId="114">
    <w:abstractNumId w:val="1"/>
  </w:num>
  <w:num w:numId="115">
    <w:abstractNumId w:val="1"/>
  </w:num>
  <w:num w:numId="116">
    <w:abstractNumId w:val="1"/>
  </w:num>
  <w:num w:numId="117">
    <w:abstractNumId w:val="1"/>
  </w:num>
  <w:num w:numId="118">
    <w:abstractNumId w:val="0"/>
  </w:num>
  <w:num w:numId="119">
    <w:abstractNumId w:val="25"/>
  </w:num>
  <w:num w:numId="120">
    <w:abstractNumId w:val="1"/>
  </w:num>
  <w:num w:numId="121">
    <w:abstractNumId w:val="1"/>
  </w:num>
  <w:num w:numId="122">
    <w:abstractNumId w:val="1"/>
  </w:num>
  <w:num w:numId="123">
    <w:abstractNumId w:val="1"/>
  </w:num>
  <w:num w:numId="124">
    <w:abstractNumId w:val="1"/>
  </w:num>
  <w:num w:numId="125">
    <w:abstractNumId w:val="1"/>
  </w:num>
  <w:num w:numId="126">
    <w:abstractNumId w:val="1"/>
  </w:num>
  <w:num w:numId="127">
    <w:abstractNumId w:val="1"/>
  </w:num>
  <w:num w:numId="128">
    <w:abstractNumId w:val="1"/>
  </w:num>
  <w:num w:numId="129">
    <w:abstractNumId w:val="1"/>
  </w:num>
  <w:num w:numId="130">
    <w:abstractNumId w:val="1"/>
  </w:num>
  <w:num w:numId="131">
    <w:abstractNumId w:val="1"/>
  </w:num>
  <w:num w:numId="132">
    <w:abstractNumId w:val="1"/>
  </w:num>
  <w:num w:numId="133">
    <w:abstractNumId w:val="1"/>
  </w:num>
  <w:num w:numId="134">
    <w:abstractNumId w:val="1"/>
  </w:num>
  <w:num w:numId="135">
    <w:abstractNumId w:val="34"/>
  </w:num>
  <w:num w:numId="136">
    <w:abstractNumId w:val="45"/>
  </w:num>
  <w:num w:numId="137">
    <w:abstractNumId w:val="39"/>
  </w:num>
  <w:num w:numId="138">
    <w:abstractNumId w:val="38"/>
  </w:num>
  <w:num w:numId="139">
    <w:abstractNumId w:val="35"/>
  </w:num>
  <w:num w:numId="140">
    <w:abstractNumId w:val="2"/>
  </w:num>
  <w:num w:numId="141">
    <w:abstractNumId w:val="22"/>
  </w:num>
  <w:num w:numId="142">
    <w:abstractNumId w:val="16"/>
  </w:num>
  <w:num w:numId="143">
    <w:abstractNumId w:val="17"/>
  </w:num>
  <w:num w:numId="144">
    <w:abstractNumId w:val="7"/>
  </w:num>
  <w:num w:numId="145">
    <w:abstractNumId w:val="4"/>
  </w:num>
  <w:num w:numId="146">
    <w:abstractNumId w:val="4"/>
  </w:num>
  <w:num w:numId="147">
    <w:abstractNumId w:val="4"/>
  </w:num>
  <w:num w:numId="148">
    <w:abstractNumId w:val="4"/>
  </w:num>
  <w:num w:numId="149">
    <w:abstractNumId w:val="4"/>
  </w:num>
  <w:num w:numId="150">
    <w:abstractNumId w:val="4"/>
  </w:num>
  <w:num w:numId="151">
    <w:abstractNumId w:val="4"/>
  </w:num>
  <w:num w:numId="152">
    <w:abstractNumId w:val="4"/>
  </w:num>
  <w:num w:numId="153">
    <w:abstractNumId w:val="4"/>
  </w:num>
  <w:num w:numId="154">
    <w:abstractNumId w:val="4"/>
  </w:num>
  <w:num w:numId="155">
    <w:abstractNumId w:val="4"/>
  </w:num>
  <w:num w:numId="156">
    <w:abstractNumId w:val="4"/>
  </w:num>
  <w:num w:numId="157">
    <w:abstractNumId w:val="4"/>
  </w:num>
  <w:num w:numId="158">
    <w:abstractNumId w:val="4"/>
  </w:num>
  <w:num w:numId="159">
    <w:abstractNumId w:val="4"/>
  </w:num>
  <w:num w:numId="160">
    <w:abstractNumId w:val="4"/>
  </w:num>
  <w:num w:numId="161">
    <w:abstractNumId w:val="4"/>
  </w:num>
  <w:num w:numId="162">
    <w:abstractNumId w:val="4"/>
  </w:num>
  <w:num w:numId="163">
    <w:abstractNumId w:val="4"/>
  </w:num>
  <w:num w:numId="164">
    <w:abstractNumId w:val="4"/>
  </w:num>
  <w:num w:numId="165">
    <w:abstractNumId w:val="4"/>
  </w:num>
  <w:num w:numId="166">
    <w:abstractNumId w:val="4"/>
  </w:num>
  <w:num w:numId="167">
    <w:abstractNumId w:val="4"/>
  </w:num>
  <w:num w:numId="168">
    <w:abstractNumId w:val="4"/>
  </w:num>
  <w:num w:numId="169">
    <w:abstractNumId w:val="4"/>
  </w:num>
  <w:num w:numId="170">
    <w:abstractNumId w:val="4"/>
  </w:num>
  <w:num w:numId="171">
    <w:abstractNumId w:val="4"/>
  </w:num>
  <w:num w:numId="172">
    <w:abstractNumId w:val="4"/>
  </w:num>
  <w:num w:numId="173">
    <w:abstractNumId w:val="4"/>
  </w:num>
  <w:num w:numId="174">
    <w:abstractNumId w:val="4"/>
  </w:num>
  <w:num w:numId="175">
    <w:abstractNumId w:val="4"/>
  </w:num>
  <w:num w:numId="176">
    <w:abstractNumId w:val="4"/>
  </w:num>
  <w:num w:numId="177">
    <w:abstractNumId w:val="4"/>
  </w:num>
  <w:num w:numId="178">
    <w:abstractNumId w:val="4"/>
  </w:num>
  <w:num w:numId="179">
    <w:abstractNumId w:val="4"/>
  </w:num>
  <w:num w:numId="180">
    <w:abstractNumId w:val="4"/>
  </w:num>
  <w:num w:numId="181">
    <w:abstractNumId w:val="4"/>
  </w:num>
  <w:num w:numId="182">
    <w:abstractNumId w:val="4"/>
  </w:num>
  <w:num w:numId="183">
    <w:abstractNumId w:val="4"/>
  </w:num>
  <w:num w:numId="184">
    <w:abstractNumId w:val="4"/>
  </w:num>
  <w:num w:numId="185">
    <w:abstractNumId w:val="4"/>
  </w:num>
  <w:num w:numId="186">
    <w:abstractNumId w:val="4"/>
  </w:num>
  <w:num w:numId="187">
    <w:abstractNumId w:val="6"/>
  </w:num>
  <w:num w:numId="188">
    <w:abstractNumId w:val="4"/>
  </w:num>
  <w:num w:numId="189">
    <w:abstractNumId w:val="4"/>
  </w:num>
  <w:num w:numId="190">
    <w:abstractNumId w:val="4"/>
  </w:num>
  <w:num w:numId="191">
    <w:abstractNumId w:val="4"/>
  </w:num>
  <w:num w:numId="192">
    <w:abstractNumId w:val="4"/>
  </w:num>
  <w:num w:numId="193">
    <w:abstractNumId w:val="4"/>
  </w:num>
  <w:num w:numId="194">
    <w:abstractNumId w:val="4"/>
  </w:num>
  <w:num w:numId="195">
    <w:abstractNumId w:val="4"/>
  </w:num>
  <w:num w:numId="196">
    <w:abstractNumId w:val="4"/>
  </w:num>
  <w:num w:numId="197">
    <w:abstractNumId w:val="4"/>
  </w:num>
  <w:num w:numId="198">
    <w:abstractNumId w:val="4"/>
  </w:num>
  <w:num w:numId="199">
    <w:abstractNumId w:val="4"/>
  </w:num>
  <w:num w:numId="200">
    <w:abstractNumId w:val="4"/>
  </w:num>
  <w:num w:numId="201">
    <w:abstractNumId w:val="4"/>
  </w:num>
  <w:numIdMacAtCleanup w:val="1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de-DE" w:vendorID="64" w:dllVersion="6" w:nlCheck="1" w:checkStyle="0"/>
  <w:activeWritingStyle w:appName="MSWord" w:lang="en-GB" w:vendorID="64" w:dllVersion="6" w:nlCheck="1" w:checkStyle="1"/>
  <w:activeWritingStyle w:appName="MSWord" w:lang="nl-BE" w:vendorID="64" w:dllVersion="6" w:nlCheck="1" w:checkStyle="0"/>
  <w:activeWritingStyle w:appName="MSWord" w:lang="pt-PT" w:vendorID="64" w:dllVersion="6" w:nlCheck="1" w:checkStyle="0"/>
  <w:activeWritingStyle w:appName="MSWord" w:lang="fr-BE" w:vendorID="64" w:dllVersion="6" w:nlCheck="1" w:checkStyle="0"/>
  <w:activeWritingStyle w:appName="MSWord" w:lang="en-GB" w:vendorID="64" w:dllVersion="0" w:nlCheck="1" w:checkStyle="0"/>
  <w:activeWritingStyle w:appName="MSWord" w:lang="en-US" w:vendorID="64" w:dllVersion="6" w:nlCheck="1" w:checkStyle="1"/>
  <w:activeWritingStyle w:appName="MSWord" w:lang="en-GB" w:vendorID="64" w:dllVersion="4096" w:nlCheck="1" w:checkStyle="0"/>
  <w:activeWritingStyle w:appName="MSWord" w:lang="en-GB" w:vendorID="64" w:dllVersion="131078" w:nlCheck="1" w:checkStyle="0"/>
  <w:activeWritingStyle w:appName="MSWord" w:lang="nl-BE" w:vendorID="64" w:dllVersion="131078" w:nlCheck="1" w:checkStyle="0"/>
  <w:activeWritingStyle w:appName="MSWord" w:lang="de-DE" w:vendorID="64" w:dllVersion="131078" w:nlCheck="1" w:checkStyle="0"/>
  <w:activeWritingStyle w:appName="MSWord" w:lang="fr-BE" w:vendorID="64" w:dllVersion="131078" w:nlCheck="1" w:checkStyle="0"/>
  <w:activeWritingStyle w:appName="MSWord" w:lang="en-US" w:vendorID="64" w:dllVersion="131078" w:nlCheck="1" w:checkStyle="0"/>
  <w:activeWritingStyle w:appName="MSWord" w:lang="fr-FR" w:vendorID="64" w:dllVersion="131078" w:nlCheck="1" w:checkStyle="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26625"/>
  </w:hdrShapeDefaults>
  <w:footnotePr>
    <w:footnote w:id="-1"/>
    <w:footnote w:id="0"/>
    <w:footnote w:id="1"/>
  </w:footnotePr>
  <w:endnotePr>
    <w:endnote w:id="-1"/>
    <w:endnote w:id="0"/>
    <w:endnote w:id="1"/>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E3A"/>
    <w:rsid w:val="0000133D"/>
    <w:rsid w:val="0000242E"/>
    <w:rsid w:val="00002CEB"/>
    <w:rsid w:val="00002D63"/>
    <w:rsid w:val="000045D1"/>
    <w:rsid w:val="00004F26"/>
    <w:rsid w:val="000058F0"/>
    <w:rsid w:val="00005D5D"/>
    <w:rsid w:val="00006952"/>
    <w:rsid w:val="00006B66"/>
    <w:rsid w:val="000076A0"/>
    <w:rsid w:val="0000777B"/>
    <w:rsid w:val="00007B55"/>
    <w:rsid w:val="0001074E"/>
    <w:rsid w:val="000108A4"/>
    <w:rsid w:val="00010FBE"/>
    <w:rsid w:val="00011677"/>
    <w:rsid w:val="00011F7E"/>
    <w:rsid w:val="00012F5C"/>
    <w:rsid w:val="000140ED"/>
    <w:rsid w:val="00015CB3"/>
    <w:rsid w:val="000163F4"/>
    <w:rsid w:val="000175C6"/>
    <w:rsid w:val="00017768"/>
    <w:rsid w:val="0001796A"/>
    <w:rsid w:val="0002154D"/>
    <w:rsid w:val="00021741"/>
    <w:rsid w:val="0002227E"/>
    <w:rsid w:val="00022635"/>
    <w:rsid w:val="00024239"/>
    <w:rsid w:val="00024BDE"/>
    <w:rsid w:val="000250DF"/>
    <w:rsid w:val="00025E3C"/>
    <w:rsid w:val="00026607"/>
    <w:rsid w:val="00026CB7"/>
    <w:rsid w:val="0003025D"/>
    <w:rsid w:val="000306B7"/>
    <w:rsid w:val="00030ED8"/>
    <w:rsid w:val="00031819"/>
    <w:rsid w:val="00032B38"/>
    <w:rsid w:val="000344B8"/>
    <w:rsid w:val="000344F8"/>
    <w:rsid w:val="0003478D"/>
    <w:rsid w:val="00034A54"/>
    <w:rsid w:val="0003532F"/>
    <w:rsid w:val="00035FA9"/>
    <w:rsid w:val="00036B33"/>
    <w:rsid w:val="000419C3"/>
    <w:rsid w:val="00041E1E"/>
    <w:rsid w:val="0004364D"/>
    <w:rsid w:val="00043889"/>
    <w:rsid w:val="00043A71"/>
    <w:rsid w:val="00043CF5"/>
    <w:rsid w:val="0004493F"/>
    <w:rsid w:val="00044D0E"/>
    <w:rsid w:val="000456BB"/>
    <w:rsid w:val="00045B09"/>
    <w:rsid w:val="00045CF8"/>
    <w:rsid w:val="00046CE8"/>
    <w:rsid w:val="0004700A"/>
    <w:rsid w:val="0005171E"/>
    <w:rsid w:val="00051A50"/>
    <w:rsid w:val="00051E23"/>
    <w:rsid w:val="00052C3A"/>
    <w:rsid w:val="00052FF9"/>
    <w:rsid w:val="00053BDC"/>
    <w:rsid w:val="000571A0"/>
    <w:rsid w:val="00057233"/>
    <w:rsid w:val="000574C8"/>
    <w:rsid w:val="000605A9"/>
    <w:rsid w:val="00060E8E"/>
    <w:rsid w:val="00062F24"/>
    <w:rsid w:val="00062F58"/>
    <w:rsid w:val="00064996"/>
    <w:rsid w:val="000655D6"/>
    <w:rsid w:val="00066015"/>
    <w:rsid w:val="000702EA"/>
    <w:rsid w:val="0007172C"/>
    <w:rsid w:val="000720C1"/>
    <w:rsid w:val="0007287D"/>
    <w:rsid w:val="0007364D"/>
    <w:rsid w:val="000746CA"/>
    <w:rsid w:val="0007584C"/>
    <w:rsid w:val="00075FA1"/>
    <w:rsid w:val="000777C2"/>
    <w:rsid w:val="00080192"/>
    <w:rsid w:val="00082AAE"/>
    <w:rsid w:val="00083809"/>
    <w:rsid w:val="00083854"/>
    <w:rsid w:val="00085507"/>
    <w:rsid w:val="00085953"/>
    <w:rsid w:val="00085D1C"/>
    <w:rsid w:val="00086703"/>
    <w:rsid w:val="000868D8"/>
    <w:rsid w:val="00092E06"/>
    <w:rsid w:val="00092ECB"/>
    <w:rsid w:val="000934FA"/>
    <w:rsid w:val="000944A2"/>
    <w:rsid w:val="00094C9E"/>
    <w:rsid w:val="0009523F"/>
    <w:rsid w:val="00096797"/>
    <w:rsid w:val="00097362"/>
    <w:rsid w:val="00097999"/>
    <w:rsid w:val="00097ED3"/>
    <w:rsid w:val="000A0C06"/>
    <w:rsid w:val="000A11A2"/>
    <w:rsid w:val="000A11CB"/>
    <w:rsid w:val="000A1309"/>
    <w:rsid w:val="000A1601"/>
    <w:rsid w:val="000A27F6"/>
    <w:rsid w:val="000A2FF0"/>
    <w:rsid w:val="000A44E5"/>
    <w:rsid w:val="000A4A6F"/>
    <w:rsid w:val="000A5710"/>
    <w:rsid w:val="000A6094"/>
    <w:rsid w:val="000A682F"/>
    <w:rsid w:val="000A6E69"/>
    <w:rsid w:val="000A7CA0"/>
    <w:rsid w:val="000B1BA5"/>
    <w:rsid w:val="000B2522"/>
    <w:rsid w:val="000B3D59"/>
    <w:rsid w:val="000B3ECE"/>
    <w:rsid w:val="000B4327"/>
    <w:rsid w:val="000B4A60"/>
    <w:rsid w:val="000B55A0"/>
    <w:rsid w:val="000B592C"/>
    <w:rsid w:val="000B5D7B"/>
    <w:rsid w:val="000B5EE5"/>
    <w:rsid w:val="000B6399"/>
    <w:rsid w:val="000B74C0"/>
    <w:rsid w:val="000B7E61"/>
    <w:rsid w:val="000C07E6"/>
    <w:rsid w:val="000C10A3"/>
    <w:rsid w:val="000C1437"/>
    <w:rsid w:val="000C2D7A"/>
    <w:rsid w:val="000C3068"/>
    <w:rsid w:val="000C31C1"/>
    <w:rsid w:val="000C3A60"/>
    <w:rsid w:val="000C3D6F"/>
    <w:rsid w:val="000C3DB6"/>
    <w:rsid w:val="000C4466"/>
    <w:rsid w:val="000C4625"/>
    <w:rsid w:val="000C4820"/>
    <w:rsid w:val="000C62E1"/>
    <w:rsid w:val="000C682D"/>
    <w:rsid w:val="000C782B"/>
    <w:rsid w:val="000C7F2B"/>
    <w:rsid w:val="000D05A4"/>
    <w:rsid w:val="000D06AC"/>
    <w:rsid w:val="000D1160"/>
    <w:rsid w:val="000D17AF"/>
    <w:rsid w:val="000D18F1"/>
    <w:rsid w:val="000D1A6A"/>
    <w:rsid w:val="000D26FD"/>
    <w:rsid w:val="000D2D8E"/>
    <w:rsid w:val="000D498E"/>
    <w:rsid w:val="000D5ECA"/>
    <w:rsid w:val="000D6C71"/>
    <w:rsid w:val="000D758E"/>
    <w:rsid w:val="000D778B"/>
    <w:rsid w:val="000D781D"/>
    <w:rsid w:val="000D7985"/>
    <w:rsid w:val="000D7B99"/>
    <w:rsid w:val="000E0AAE"/>
    <w:rsid w:val="000E0F6A"/>
    <w:rsid w:val="000E12D0"/>
    <w:rsid w:val="000E1450"/>
    <w:rsid w:val="000E2060"/>
    <w:rsid w:val="000E2366"/>
    <w:rsid w:val="000E2914"/>
    <w:rsid w:val="000E2CDE"/>
    <w:rsid w:val="000E37BD"/>
    <w:rsid w:val="000E51A3"/>
    <w:rsid w:val="000E51B8"/>
    <w:rsid w:val="000E5479"/>
    <w:rsid w:val="000E5560"/>
    <w:rsid w:val="000E5730"/>
    <w:rsid w:val="000E5981"/>
    <w:rsid w:val="000E59D2"/>
    <w:rsid w:val="000E608D"/>
    <w:rsid w:val="000E60D9"/>
    <w:rsid w:val="000E62D5"/>
    <w:rsid w:val="000E6944"/>
    <w:rsid w:val="000F09F4"/>
    <w:rsid w:val="000F1080"/>
    <w:rsid w:val="000F1367"/>
    <w:rsid w:val="000F1728"/>
    <w:rsid w:val="000F17E3"/>
    <w:rsid w:val="000F1CA4"/>
    <w:rsid w:val="000F1D0E"/>
    <w:rsid w:val="000F260D"/>
    <w:rsid w:val="000F2AF8"/>
    <w:rsid w:val="000F2BDB"/>
    <w:rsid w:val="000F348D"/>
    <w:rsid w:val="000F4BBE"/>
    <w:rsid w:val="000F60B7"/>
    <w:rsid w:val="0010095B"/>
    <w:rsid w:val="00100BCD"/>
    <w:rsid w:val="00102C3A"/>
    <w:rsid w:val="00102E19"/>
    <w:rsid w:val="00102F6B"/>
    <w:rsid w:val="00103110"/>
    <w:rsid w:val="00103327"/>
    <w:rsid w:val="001036A9"/>
    <w:rsid w:val="00103E02"/>
    <w:rsid w:val="00103E3A"/>
    <w:rsid w:val="001044D7"/>
    <w:rsid w:val="0010527D"/>
    <w:rsid w:val="001059D4"/>
    <w:rsid w:val="001062BF"/>
    <w:rsid w:val="0010661A"/>
    <w:rsid w:val="00107147"/>
    <w:rsid w:val="00107275"/>
    <w:rsid w:val="00107CC4"/>
    <w:rsid w:val="00107F4B"/>
    <w:rsid w:val="0011049A"/>
    <w:rsid w:val="00110F06"/>
    <w:rsid w:val="00111096"/>
    <w:rsid w:val="00111C1E"/>
    <w:rsid w:val="00111D63"/>
    <w:rsid w:val="00111E9D"/>
    <w:rsid w:val="00112B29"/>
    <w:rsid w:val="0011343A"/>
    <w:rsid w:val="001139C9"/>
    <w:rsid w:val="00113DD3"/>
    <w:rsid w:val="00113F4C"/>
    <w:rsid w:val="00114A85"/>
    <w:rsid w:val="00114C8F"/>
    <w:rsid w:val="00117013"/>
    <w:rsid w:val="001178C4"/>
    <w:rsid w:val="00117E08"/>
    <w:rsid w:val="00120046"/>
    <w:rsid w:val="0012176B"/>
    <w:rsid w:val="0012238A"/>
    <w:rsid w:val="001226E2"/>
    <w:rsid w:val="00123C4F"/>
    <w:rsid w:val="00123CDE"/>
    <w:rsid w:val="00123E8C"/>
    <w:rsid w:val="0012457A"/>
    <w:rsid w:val="00126316"/>
    <w:rsid w:val="00126FEC"/>
    <w:rsid w:val="001279E6"/>
    <w:rsid w:val="00127D4F"/>
    <w:rsid w:val="0013069B"/>
    <w:rsid w:val="001306C0"/>
    <w:rsid w:val="001307C5"/>
    <w:rsid w:val="00130D0D"/>
    <w:rsid w:val="00130E83"/>
    <w:rsid w:val="00131285"/>
    <w:rsid w:val="001313C2"/>
    <w:rsid w:val="00133927"/>
    <w:rsid w:val="00134396"/>
    <w:rsid w:val="00134A69"/>
    <w:rsid w:val="001352E6"/>
    <w:rsid w:val="001353B9"/>
    <w:rsid w:val="00135E55"/>
    <w:rsid w:val="00135EB9"/>
    <w:rsid w:val="00135FF7"/>
    <w:rsid w:val="001364BF"/>
    <w:rsid w:val="00137870"/>
    <w:rsid w:val="00140934"/>
    <w:rsid w:val="00140937"/>
    <w:rsid w:val="00140ADA"/>
    <w:rsid w:val="00144741"/>
    <w:rsid w:val="00144C9D"/>
    <w:rsid w:val="00146A82"/>
    <w:rsid w:val="00147AA5"/>
    <w:rsid w:val="00150958"/>
    <w:rsid w:val="001523B1"/>
    <w:rsid w:val="0015387B"/>
    <w:rsid w:val="00154D25"/>
    <w:rsid w:val="00155493"/>
    <w:rsid w:val="00155DF4"/>
    <w:rsid w:val="00156A17"/>
    <w:rsid w:val="00156BBF"/>
    <w:rsid w:val="001571ED"/>
    <w:rsid w:val="001573DF"/>
    <w:rsid w:val="0016000E"/>
    <w:rsid w:val="00160040"/>
    <w:rsid w:val="0016095A"/>
    <w:rsid w:val="00161113"/>
    <w:rsid w:val="00161B94"/>
    <w:rsid w:val="001625FC"/>
    <w:rsid w:val="0016315A"/>
    <w:rsid w:val="001632A6"/>
    <w:rsid w:val="00164E36"/>
    <w:rsid w:val="00165096"/>
    <w:rsid w:val="00166C8D"/>
    <w:rsid w:val="00167131"/>
    <w:rsid w:val="00167702"/>
    <w:rsid w:val="00171247"/>
    <w:rsid w:val="00171489"/>
    <w:rsid w:val="00171906"/>
    <w:rsid w:val="0017192E"/>
    <w:rsid w:val="00173706"/>
    <w:rsid w:val="001752BC"/>
    <w:rsid w:val="00175938"/>
    <w:rsid w:val="00176CBE"/>
    <w:rsid w:val="00176DD3"/>
    <w:rsid w:val="00180CE7"/>
    <w:rsid w:val="001829E0"/>
    <w:rsid w:val="00182BF2"/>
    <w:rsid w:val="001836DE"/>
    <w:rsid w:val="00184207"/>
    <w:rsid w:val="0018427B"/>
    <w:rsid w:val="00184E05"/>
    <w:rsid w:val="00185CC1"/>
    <w:rsid w:val="00185DE3"/>
    <w:rsid w:val="00186015"/>
    <w:rsid w:val="0018790F"/>
    <w:rsid w:val="00190179"/>
    <w:rsid w:val="00190747"/>
    <w:rsid w:val="001909EF"/>
    <w:rsid w:val="00190F68"/>
    <w:rsid w:val="001910B0"/>
    <w:rsid w:val="00191279"/>
    <w:rsid w:val="00191305"/>
    <w:rsid w:val="001919C5"/>
    <w:rsid w:val="00192190"/>
    <w:rsid w:val="00193AED"/>
    <w:rsid w:val="00194DF4"/>
    <w:rsid w:val="0019502E"/>
    <w:rsid w:val="00195082"/>
    <w:rsid w:val="001953B0"/>
    <w:rsid w:val="001954D0"/>
    <w:rsid w:val="00196ECE"/>
    <w:rsid w:val="00197D43"/>
    <w:rsid w:val="001A299F"/>
    <w:rsid w:val="001A5B7A"/>
    <w:rsid w:val="001A70FC"/>
    <w:rsid w:val="001A7DC4"/>
    <w:rsid w:val="001B14B2"/>
    <w:rsid w:val="001B1AA1"/>
    <w:rsid w:val="001B361F"/>
    <w:rsid w:val="001B538B"/>
    <w:rsid w:val="001B5716"/>
    <w:rsid w:val="001B60B1"/>
    <w:rsid w:val="001B7AE1"/>
    <w:rsid w:val="001B7EBC"/>
    <w:rsid w:val="001C095B"/>
    <w:rsid w:val="001C183D"/>
    <w:rsid w:val="001C2664"/>
    <w:rsid w:val="001C2B2E"/>
    <w:rsid w:val="001C2E0B"/>
    <w:rsid w:val="001C39DE"/>
    <w:rsid w:val="001C6103"/>
    <w:rsid w:val="001C637F"/>
    <w:rsid w:val="001C6722"/>
    <w:rsid w:val="001C6919"/>
    <w:rsid w:val="001D2AC4"/>
    <w:rsid w:val="001D31B4"/>
    <w:rsid w:val="001D3278"/>
    <w:rsid w:val="001D3823"/>
    <w:rsid w:val="001D392C"/>
    <w:rsid w:val="001D3998"/>
    <w:rsid w:val="001D437C"/>
    <w:rsid w:val="001D445E"/>
    <w:rsid w:val="001D49A5"/>
    <w:rsid w:val="001D642C"/>
    <w:rsid w:val="001D6B10"/>
    <w:rsid w:val="001D77F7"/>
    <w:rsid w:val="001E088A"/>
    <w:rsid w:val="001E3380"/>
    <w:rsid w:val="001E38BB"/>
    <w:rsid w:val="001E3D26"/>
    <w:rsid w:val="001E4EB3"/>
    <w:rsid w:val="001E5210"/>
    <w:rsid w:val="001E52A7"/>
    <w:rsid w:val="001E6C4D"/>
    <w:rsid w:val="001E7D9A"/>
    <w:rsid w:val="001E7EFD"/>
    <w:rsid w:val="001F0C43"/>
    <w:rsid w:val="001F0FFC"/>
    <w:rsid w:val="001F2087"/>
    <w:rsid w:val="001F3994"/>
    <w:rsid w:val="001F4A1B"/>
    <w:rsid w:val="001F5DDF"/>
    <w:rsid w:val="001F5FA8"/>
    <w:rsid w:val="001F62C0"/>
    <w:rsid w:val="001F63B1"/>
    <w:rsid w:val="001F673D"/>
    <w:rsid w:val="001F6D2A"/>
    <w:rsid w:val="001F7B61"/>
    <w:rsid w:val="001F7CA0"/>
    <w:rsid w:val="00200774"/>
    <w:rsid w:val="00200ECF"/>
    <w:rsid w:val="00201810"/>
    <w:rsid w:val="00202457"/>
    <w:rsid w:val="002031AF"/>
    <w:rsid w:val="00203C67"/>
    <w:rsid w:val="00203FB7"/>
    <w:rsid w:val="00204C62"/>
    <w:rsid w:val="0020719B"/>
    <w:rsid w:val="0020775D"/>
    <w:rsid w:val="0021030F"/>
    <w:rsid w:val="002109D1"/>
    <w:rsid w:val="002112AB"/>
    <w:rsid w:val="00211BE9"/>
    <w:rsid w:val="00212C01"/>
    <w:rsid w:val="00212EA8"/>
    <w:rsid w:val="00214223"/>
    <w:rsid w:val="002142EC"/>
    <w:rsid w:val="00214E98"/>
    <w:rsid w:val="00214FF4"/>
    <w:rsid w:val="002156D1"/>
    <w:rsid w:val="00215B5C"/>
    <w:rsid w:val="002174CE"/>
    <w:rsid w:val="00217866"/>
    <w:rsid w:val="002203ED"/>
    <w:rsid w:val="00221A93"/>
    <w:rsid w:val="00221FF0"/>
    <w:rsid w:val="00222526"/>
    <w:rsid w:val="00222CB6"/>
    <w:rsid w:val="00222F59"/>
    <w:rsid w:val="00223874"/>
    <w:rsid w:val="00223E95"/>
    <w:rsid w:val="00224DCE"/>
    <w:rsid w:val="002250EE"/>
    <w:rsid w:val="0022523B"/>
    <w:rsid w:val="0022603A"/>
    <w:rsid w:val="00226BC6"/>
    <w:rsid w:val="00226C68"/>
    <w:rsid w:val="00230028"/>
    <w:rsid w:val="002302DA"/>
    <w:rsid w:val="00230464"/>
    <w:rsid w:val="002307FF"/>
    <w:rsid w:val="0023173A"/>
    <w:rsid w:val="00232808"/>
    <w:rsid w:val="002348FD"/>
    <w:rsid w:val="002349AA"/>
    <w:rsid w:val="00235F31"/>
    <w:rsid w:val="002362BB"/>
    <w:rsid w:val="00240C68"/>
    <w:rsid w:val="00240CE4"/>
    <w:rsid w:val="002431F1"/>
    <w:rsid w:val="00245EE1"/>
    <w:rsid w:val="00246DAF"/>
    <w:rsid w:val="002474C7"/>
    <w:rsid w:val="002479AF"/>
    <w:rsid w:val="00250F73"/>
    <w:rsid w:val="002510AC"/>
    <w:rsid w:val="00251B0D"/>
    <w:rsid w:val="00251C8E"/>
    <w:rsid w:val="0025258B"/>
    <w:rsid w:val="002534CD"/>
    <w:rsid w:val="002538A8"/>
    <w:rsid w:val="002542DB"/>
    <w:rsid w:val="002543DB"/>
    <w:rsid w:val="002557AB"/>
    <w:rsid w:val="002572CB"/>
    <w:rsid w:val="00257516"/>
    <w:rsid w:val="002575E6"/>
    <w:rsid w:val="00257F9F"/>
    <w:rsid w:val="00260495"/>
    <w:rsid w:val="00261B78"/>
    <w:rsid w:val="00263650"/>
    <w:rsid w:val="002636E7"/>
    <w:rsid w:val="00263D58"/>
    <w:rsid w:val="00264993"/>
    <w:rsid w:val="00266D6C"/>
    <w:rsid w:val="00266E74"/>
    <w:rsid w:val="002678B5"/>
    <w:rsid w:val="00267ED9"/>
    <w:rsid w:val="00271A6C"/>
    <w:rsid w:val="0027210E"/>
    <w:rsid w:val="00274D33"/>
    <w:rsid w:val="002751B0"/>
    <w:rsid w:val="0027602C"/>
    <w:rsid w:val="00276FC9"/>
    <w:rsid w:val="0027763F"/>
    <w:rsid w:val="00280E58"/>
    <w:rsid w:val="002821D1"/>
    <w:rsid w:val="00283189"/>
    <w:rsid w:val="00283485"/>
    <w:rsid w:val="002861B0"/>
    <w:rsid w:val="00286CC5"/>
    <w:rsid w:val="00286E5F"/>
    <w:rsid w:val="00286F4C"/>
    <w:rsid w:val="002875C5"/>
    <w:rsid w:val="002909DF"/>
    <w:rsid w:val="00291251"/>
    <w:rsid w:val="0029187D"/>
    <w:rsid w:val="00292D64"/>
    <w:rsid w:val="0029358B"/>
    <w:rsid w:val="0029416C"/>
    <w:rsid w:val="002946A5"/>
    <w:rsid w:val="00296D62"/>
    <w:rsid w:val="002A03FA"/>
    <w:rsid w:val="002A06B0"/>
    <w:rsid w:val="002A1684"/>
    <w:rsid w:val="002A17A6"/>
    <w:rsid w:val="002A1AE4"/>
    <w:rsid w:val="002A1E94"/>
    <w:rsid w:val="002A2BD4"/>
    <w:rsid w:val="002A3C5E"/>
    <w:rsid w:val="002A469C"/>
    <w:rsid w:val="002A54E1"/>
    <w:rsid w:val="002A58B7"/>
    <w:rsid w:val="002A5CFD"/>
    <w:rsid w:val="002A66D4"/>
    <w:rsid w:val="002A691F"/>
    <w:rsid w:val="002A78A6"/>
    <w:rsid w:val="002B021B"/>
    <w:rsid w:val="002B1216"/>
    <w:rsid w:val="002B2BF2"/>
    <w:rsid w:val="002B3328"/>
    <w:rsid w:val="002B4774"/>
    <w:rsid w:val="002B4DCF"/>
    <w:rsid w:val="002B4F0E"/>
    <w:rsid w:val="002B5982"/>
    <w:rsid w:val="002B5AE5"/>
    <w:rsid w:val="002B613C"/>
    <w:rsid w:val="002B68A6"/>
    <w:rsid w:val="002B7CAE"/>
    <w:rsid w:val="002C07FA"/>
    <w:rsid w:val="002C1990"/>
    <w:rsid w:val="002C227B"/>
    <w:rsid w:val="002C278B"/>
    <w:rsid w:val="002C280B"/>
    <w:rsid w:val="002C289B"/>
    <w:rsid w:val="002C3103"/>
    <w:rsid w:val="002C310E"/>
    <w:rsid w:val="002C374E"/>
    <w:rsid w:val="002C3B6A"/>
    <w:rsid w:val="002C48E4"/>
    <w:rsid w:val="002C49BA"/>
    <w:rsid w:val="002C55B0"/>
    <w:rsid w:val="002C5BB2"/>
    <w:rsid w:val="002C720F"/>
    <w:rsid w:val="002C79C6"/>
    <w:rsid w:val="002D0825"/>
    <w:rsid w:val="002D0873"/>
    <w:rsid w:val="002D1D5C"/>
    <w:rsid w:val="002D22A3"/>
    <w:rsid w:val="002D231C"/>
    <w:rsid w:val="002D23CB"/>
    <w:rsid w:val="002D24B3"/>
    <w:rsid w:val="002D2509"/>
    <w:rsid w:val="002D2C35"/>
    <w:rsid w:val="002D3AE6"/>
    <w:rsid w:val="002D54A4"/>
    <w:rsid w:val="002D5AFF"/>
    <w:rsid w:val="002D66C6"/>
    <w:rsid w:val="002D69F9"/>
    <w:rsid w:val="002D71DD"/>
    <w:rsid w:val="002D749B"/>
    <w:rsid w:val="002E067B"/>
    <w:rsid w:val="002E0BC0"/>
    <w:rsid w:val="002E0DD5"/>
    <w:rsid w:val="002E17EF"/>
    <w:rsid w:val="002E1F69"/>
    <w:rsid w:val="002E47B3"/>
    <w:rsid w:val="002E47CC"/>
    <w:rsid w:val="002E4FE2"/>
    <w:rsid w:val="002E5B68"/>
    <w:rsid w:val="002E5ED8"/>
    <w:rsid w:val="002E690A"/>
    <w:rsid w:val="002E6DAA"/>
    <w:rsid w:val="002E7E5E"/>
    <w:rsid w:val="002F0D90"/>
    <w:rsid w:val="002F12C6"/>
    <w:rsid w:val="002F2251"/>
    <w:rsid w:val="002F2313"/>
    <w:rsid w:val="002F29D8"/>
    <w:rsid w:val="002F2DDA"/>
    <w:rsid w:val="002F359E"/>
    <w:rsid w:val="002F384A"/>
    <w:rsid w:val="002F72E0"/>
    <w:rsid w:val="002F7D2C"/>
    <w:rsid w:val="00300803"/>
    <w:rsid w:val="00300C8C"/>
    <w:rsid w:val="003027F8"/>
    <w:rsid w:val="00302CBD"/>
    <w:rsid w:val="00302F4D"/>
    <w:rsid w:val="00303714"/>
    <w:rsid w:val="00303731"/>
    <w:rsid w:val="00304502"/>
    <w:rsid w:val="00304F77"/>
    <w:rsid w:val="003069EA"/>
    <w:rsid w:val="00306DE4"/>
    <w:rsid w:val="00306EED"/>
    <w:rsid w:val="0030729F"/>
    <w:rsid w:val="0030742C"/>
    <w:rsid w:val="00307965"/>
    <w:rsid w:val="00307A4D"/>
    <w:rsid w:val="00310EE8"/>
    <w:rsid w:val="00314B8C"/>
    <w:rsid w:val="00315977"/>
    <w:rsid w:val="003176EE"/>
    <w:rsid w:val="00321A45"/>
    <w:rsid w:val="003224E5"/>
    <w:rsid w:val="00323BA1"/>
    <w:rsid w:val="00325014"/>
    <w:rsid w:val="00326066"/>
    <w:rsid w:val="003277A7"/>
    <w:rsid w:val="00327C36"/>
    <w:rsid w:val="003301CC"/>
    <w:rsid w:val="0033075C"/>
    <w:rsid w:val="00330E53"/>
    <w:rsid w:val="00331D7C"/>
    <w:rsid w:val="00331F7F"/>
    <w:rsid w:val="0033219E"/>
    <w:rsid w:val="00332985"/>
    <w:rsid w:val="00333003"/>
    <w:rsid w:val="00333972"/>
    <w:rsid w:val="00334276"/>
    <w:rsid w:val="00334529"/>
    <w:rsid w:val="003355D1"/>
    <w:rsid w:val="00335642"/>
    <w:rsid w:val="00335E90"/>
    <w:rsid w:val="00336191"/>
    <w:rsid w:val="003367B5"/>
    <w:rsid w:val="003368F7"/>
    <w:rsid w:val="003369C5"/>
    <w:rsid w:val="00336A58"/>
    <w:rsid w:val="00336C43"/>
    <w:rsid w:val="00340196"/>
    <w:rsid w:val="00341ECE"/>
    <w:rsid w:val="00341FB8"/>
    <w:rsid w:val="003421ED"/>
    <w:rsid w:val="00345E93"/>
    <w:rsid w:val="00346B0A"/>
    <w:rsid w:val="00346B5B"/>
    <w:rsid w:val="00347EB5"/>
    <w:rsid w:val="0035018F"/>
    <w:rsid w:val="00350497"/>
    <w:rsid w:val="00350842"/>
    <w:rsid w:val="00353DB9"/>
    <w:rsid w:val="00353E29"/>
    <w:rsid w:val="00355586"/>
    <w:rsid w:val="003562CA"/>
    <w:rsid w:val="0035682B"/>
    <w:rsid w:val="00357426"/>
    <w:rsid w:val="00357E75"/>
    <w:rsid w:val="00360807"/>
    <w:rsid w:val="00360F81"/>
    <w:rsid w:val="00361151"/>
    <w:rsid w:val="003624E6"/>
    <w:rsid w:val="00362F7E"/>
    <w:rsid w:val="00364694"/>
    <w:rsid w:val="00365627"/>
    <w:rsid w:val="00366206"/>
    <w:rsid w:val="00370DD5"/>
    <w:rsid w:val="00370F1E"/>
    <w:rsid w:val="0037237F"/>
    <w:rsid w:val="00375E85"/>
    <w:rsid w:val="00376B9F"/>
    <w:rsid w:val="0038007A"/>
    <w:rsid w:val="00380B16"/>
    <w:rsid w:val="0038157B"/>
    <w:rsid w:val="0038228C"/>
    <w:rsid w:val="00382303"/>
    <w:rsid w:val="00382A20"/>
    <w:rsid w:val="00382B90"/>
    <w:rsid w:val="00384A0C"/>
    <w:rsid w:val="00385380"/>
    <w:rsid w:val="003854BE"/>
    <w:rsid w:val="0038590B"/>
    <w:rsid w:val="00385F86"/>
    <w:rsid w:val="003865A7"/>
    <w:rsid w:val="003869C6"/>
    <w:rsid w:val="00386FBB"/>
    <w:rsid w:val="003877CA"/>
    <w:rsid w:val="00387840"/>
    <w:rsid w:val="00387F88"/>
    <w:rsid w:val="0039036F"/>
    <w:rsid w:val="003918BF"/>
    <w:rsid w:val="00391DA0"/>
    <w:rsid w:val="00392CE3"/>
    <w:rsid w:val="00393A6C"/>
    <w:rsid w:val="00393F2F"/>
    <w:rsid w:val="00394360"/>
    <w:rsid w:val="003955A1"/>
    <w:rsid w:val="00395730"/>
    <w:rsid w:val="00396AD4"/>
    <w:rsid w:val="00396D46"/>
    <w:rsid w:val="003A0DE3"/>
    <w:rsid w:val="003A28A4"/>
    <w:rsid w:val="003A3267"/>
    <w:rsid w:val="003A5CE0"/>
    <w:rsid w:val="003A5F46"/>
    <w:rsid w:val="003A610A"/>
    <w:rsid w:val="003A74AD"/>
    <w:rsid w:val="003A7A60"/>
    <w:rsid w:val="003A7CE5"/>
    <w:rsid w:val="003B0A99"/>
    <w:rsid w:val="003B1D8B"/>
    <w:rsid w:val="003B499E"/>
    <w:rsid w:val="003B5ABF"/>
    <w:rsid w:val="003B6268"/>
    <w:rsid w:val="003B773A"/>
    <w:rsid w:val="003B77D6"/>
    <w:rsid w:val="003C019E"/>
    <w:rsid w:val="003C079F"/>
    <w:rsid w:val="003C0FF3"/>
    <w:rsid w:val="003C1917"/>
    <w:rsid w:val="003C297D"/>
    <w:rsid w:val="003C2A9E"/>
    <w:rsid w:val="003C3A71"/>
    <w:rsid w:val="003C41DA"/>
    <w:rsid w:val="003C57CC"/>
    <w:rsid w:val="003C5A35"/>
    <w:rsid w:val="003C5A84"/>
    <w:rsid w:val="003C6E85"/>
    <w:rsid w:val="003D0938"/>
    <w:rsid w:val="003D0959"/>
    <w:rsid w:val="003D0BE7"/>
    <w:rsid w:val="003D0F17"/>
    <w:rsid w:val="003D1566"/>
    <w:rsid w:val="003D1972"/>
    <w:rsid w:val="003D374D"/>
    <w:rsid w:val="003D3773"/>
    <w:rsid w:val="003D3AE0"/>
    <w:rsid w:val="003D3C53"/>
    <w:rsid w:val="003D4899"/>
    <w:rsid w:val="003D51A2"/>
    <w:rsid w:val="003D6F79"/>
    <w:rsid w:val="003D7530"/>
    <w:rsid w:val="003D7E55"/>
    <w:rsid w:val="003E0FD8"/>
    <w:rsid w:val="003E18CD"/>
    <w:rsid w:val="003E1CDE"/>
    <w:rsid w:val="003E21B4"/>
    <w:rsid w:val="003E26C6"/>
    <w:rsid w:val="003E295F"/>
    <w:rsid w:val="003E31D9"/>
    <w:rsid w:val="003E32B3"/>
    <w:rsid w:val="003E3C19"/>
    <w:rsid w:val="003E4549"/>
    <w:rsid w:val="003E5721"/>
    <w:rsid w:val="003E5B45"/>
    <w:rsid w:val="003E5D9C"/>
    <w:rsid w:val="003E6248"/>
    <w:rsid w:val="003E6724"/>
    <w:rsid w:val="003E7B28"/>
    <w:rsid w:val="003E7B92"/>
    <w:rsid w:val="003E7EF6"/>
    <w:rsid w:val="003F0599"/>
    <w:rsid w:val="003F14E0"/>
    <w:rsid w:val="003F1CB5"/>
    <w:rsid w:val="003F26E9"/>
    <w:rsid w:val="003F4416"/>
    <w:rsid w:val="003F72D0"/>
    <w:rsid w:val="003F73BC"/>
    <w:rsid w:val="004001CB"/>
    <w:rsid w:val="00400B12"/>
    <w:rsid w:val="00400BAA"/>
    <w:rsid w:val="00403A11"/>
    <w:rsid w:val="004045B6"/>
    <w:rsid w:val="00406515"/>
    <w:rsid w:val="004110E5"/>
    <w:rsid w:val="004113F9"/>
    <w:rsid w:val="0041246C"/>
    <w:rsid w:val="00415B59"/>
    <w:rsid w:val="00415D6E"/>
    <w:rsid w:val="00417892"/>
    <w:rsid w:val="0042013A"/>
    <w:rsid w:val="0042081B"/>
    <w:rsid w:val="004223A8"/>
    <w:rsid w:val="004230F5"/>
    <w:rsid w:val="00424D32"/>
    <w:rsid w:val="0042513A"/>
    <w:rsid w:val="004251DC"/>
    <w:rsid w:val="00426164"/>
    <w:rsid w:val="0042706F"/>
    <w:rsid w:val="004271CF"/>
    <w:rsid w:val="00427AC7"/>
    <w:rsid w:val="00430653"/>
    <w:rsid w:val="00430A08"/>
    <w:rsid w:val="00432070"/>
    <w:rsid w:val="00435014"/>
    <w:rsid w:val="00435C9D"/>
    <w:rsid w:val="00436076"/>
    <w:rsid w:val="0043703A"/>
    <w:rsid w:val="00437673"/>
    <w:rsid w:val="00437996"/>
    <w:rsid w:val="00440C12"/>
    <w:rsid w:val="00441726"/>
    <w:rsid w:val="00441A28"/>
    <w:rsid w:val="00441A40"/>
    <w:rsid w:val="0044341B"/>
    <w:rsid w:val="00444BFD"/>
    <w:rsid w:val="0044599C"/>
    <w:rsid w:val="0044660F"/>
    <w:rsid w:val="004475A8"/>
    <w:rsid w:val="004476C9"/>
    <w:rsid w:val="00447C02"/>
    <w:rsid w:val="00450340"/>
    <w:rsid w:val="004513E7"/>
    <w:rsid w:val="00451A6A"/>
    <w:rsid w:val="00452DC1"/>
    <w:rsid w:val="00452FB7"/>
    <w:rsid w:val="004533BF"/>
    <w:rsid w:val="004540AB"/>
    <w:rsid w:val="00454EA6"/>
    <w:rsid w:val="00455F62"/>
    <w:rsid w:val="00457EE9"/>
    <w:rsid w:val="00460108"/>
    <w:rsid w:val="0046075E"/>
    <w:rsid w:val="00460A56"/>
    <w:rsid w:val="00461A24"/>
    <w:rsid w:val="0046270B"/>
    <w:rsid w:val="00462EDA"/>
    <w:rsid w:val="00465EF6"/>
    <w:rsid w:val="00466A8A"/>
    <w:rsid w:val="00466F91"/>
    <w:rsid w:val="0046712E"/>
    <w:rsid w:val="004673FC"/>
    <w:rsid w:val="00467D8E"/>
    <w:rsid w:val="00470299"/>
    <w:rsid w:val="00470778"/>
    <w:rsid w:val="004718B8"/>
    <w:rsid w:val="00472404"/>
    <w:rsid w:val="00473054"/>
    <w:rsid w:val="004737F2"/>
    <w:rsid w:val="004738D4"/>
    <w:rsid w:val="00473B9F"/>
    <w:rsid w:val="00473BDC"/>
    <w:rsid w:val="00474331"/>
    <w:rsid w:val="0047455C"/>
    <w:rsid w:val="004747D0"/>
    <w:rsid w:val="0047571F"/>
    <w:rsid w:val="00475FE4"/>
    <w:rsid w:val="004770B7"/>
    <w:rsid w:val="004808F6"/>
    <w:rsid w:val="004816F1"/>
    <w:rsid w:val="00481803"/>
    <w:rsid w:val="004828BB"/>
    <w:rsid w:val="00483D56"/>
    <w:rsid w:val="004846EE"/>
    <w:rsid w:val="0048552A"/>
    <w:rsid w:val="004861D1"/>
    <w:rsid w:val="0048648A"/>
    <w:rsid w:val="004868F7"/>
    <w:rsid w:val="00486FE1"/>
    <w:rsid w:val="00487921"/>
    <w:rsid w:val="004911CE"/>
    <w:rsid w:val="00491387"/>
    <w:rsid w:val="00491901"/>
    <w:rsid w:val="00491EAC"/>
    <w:rsid w:val="00491F70"/>
    <w:rsid w:val="00492A9E"/>
    <w:rsid w:val="00493EB8"/>
    <w:rsid w:val="004947C5"/>
    <w:rsid w:val="00494B92"/>
    <w:rsid w:val="0049521D"/>
    <w:rsid w:val="00495953"/>
    <w:rsid w:val="0049768B"/>
    <w:rsid w:val="0049782E"/>
    <w:rsid w:val="00497A14"/>
    <w:rsid w:val="00497BF3"/>
    <w:rsid w:val="004A1DA2"/>
    <w:rsid w:val="004A34CF"/>
    <w:rsid w:val="004A48C4"/>
    <w:rsid w:val="004A49A9"/>
    <w:rsid w:val="004A4CBA"/>
    <w:rsid w:val="004A50AD"/>
    <w:rsid w:val="004A50C2"/>
    <w:rsid w:val="004A54A6"/>
    <w:rsid w:val="004A562D"/>
    <w:rsid w:val="004A6677"/>
    <w:rsid w:val="004A6F8C"/>
    <w:rsid w:val="004A7C36"/>
    <w:rsid w:val="004A7EDC"/>
    <w:rsid w:val="004B041F"/>
    <w:rsid w:val="004B16B7"/>
    <w:rsid w:val="004B1AB3"/>
    <w:rsid w:val="004B1FF8"/>
    <w:rsid w:val="004B3D77"/>
    <w:rsid w:val="004B4AE1"/>
    <w:rsid w:val="004B50DC"/>
    <w:rsid w:val="004B57B2"/>
    <w:rsid w:val="004B61CA"/>
    <w:rsid w:val="004B697C"/>
    <w:rsid w:val="004B6E95"/>
    <w:rsid w:val="004C1CC8"/>
    <w:rsid w:val="004C3D73"/>
    <w:rsid w:val="004C3D90"/>
    <w:rsid w:val="004C4333"/>
    <w:rsid w:val="004C5461"/>
    <w:rsid w:val="004C5DDC"/>
    <w:rsid w:val="004C5E07"/>
    <w:rsid w:val="004C7FFD"/>
    <w:rsid w:val="004D07A4"/>
    <w:rsid w:val="004D07AB"/>
    <w:rsid w:val="004D2478"/>
    <w:rsid w:val="004D2FA9"/>
    <w:rsid w:val="004D3680"/>
    <w:rsid w:val="004D5257"/>
    <w:rsid w:val="004D6639"/>
    <w:rsid w:val="004D69FE"/>
    <w:rsid w:val="004E03F1"/>
    <w:rsid w:val="004E127F"/>
    <w:rsid w:val="004E1482"/>
    <w:rsid w:val="004E1497"/>
    <w:rsid w:val="004E1EE0"/>
    <w:rsid w:val="004E27DB"/>
    <w:rsid w:val="004E2911"/>
    <w:rsid w:val="004E304F"/>
    <w:rsid w:val="004E3FE3"/>
    <w:rsid w:val="004E68ED"/>
    <w:rsid w:val="004E6D12"/>
    <w:rsid w:val="004E779B"/>
    <w:rsid w:val="004E78E1"/>
    <w:rsid w:val="004E7AB1"/>
    <w:rsid w:val="004F0B47"/>
    <w:rsid w:val="004F10AE"/>
    <w:rsid w:val="004F21E9"/>
    <w:rsid w:val="004F321C"/>
    <w:rsid w:val="004F52B4"/>
    <w:rsid w:val="004F57D2"/>
    <w:rsid w:val="004F5F01"/>
    <w:rsid w:val="004F66EC"/>
    <w:rsid w:val="004F6E6E"/>
    <w:rsid w:val="0050169E"/>
    <w:rsid w:val="005037B4"/>
    <w:rsid w:val="00504749"/>
    <w:rsid w:val="00505284"/>
    <w:rsid w:val="005060AB"/>
    <w:rsid w:val="00506427"/>
    <w:rsid w:val="005071A7"/>
    <w:rsid w:val="0050769A"/>
    <w:rsid w:val="0050789A"/>
    <w:rsid w:val="00507F9D"/>
    <w:rsid w:val="00510714"/>
    <w:rsid w:val="00511412"/>
    <w:rsid w:val="00512883"/>
    <w:rsid w:val="005129E8"/>
    <w:rsid w:val="00512D27"/>
    <w:rsid w:val="00512FD7"/>
    <w:rsid w:val="00515DDA"/>
    <w:rsid w:val="00515EBB"/>
    <w:rsid w:val="005165BF"/>
    <w:rsid w:val="005170EC"/>
    <w:rsid w:val="005177E5"/>
    <w:rsid w:val="00520883"/>
    <w:rsid w:val="00521C06"/>
    <w:rsid w:val="0052224C"/>
    <w:rsid w:val="005223E1"/>
    <w:rsid w:val="00522E5C"/>
    <w:rsid w:val="00522F20"/>
    <w:rsid w:val="00523543"/>
    <w:rsid w:val="0052455C"/>
    <w:rsid w:val="005268C4"/>
    <w:rsid w:val="0052799F"/>
    <w:rsid w:val="0053118D"/>
    <w:rsid w:val="00531DF0"/>
    <w:rsid w:val="00532A89"/>
    <w:rsid w:val="00534912"/>
    <w:rsid w:val="00534F58"/>
    <w:rsid w:val="005358DE"/>
    <w:rsid w:val="00535F71"/>
    <w:rsid w:val="00537588"/>
    <w:rsid w:val="00537CEE"/>
    <w:rsid w:val="00537D4F"/>
    <w:rsid w:val="00537EAD"/>
    <w:rsid w:val="00541091"/>
    <w:rsid w:val="00541E4C"/>
    <w:rsid w:val="005421C8"/>
    <w:rsid w:val="00542217"/>
    <w:rsid w:val="005430A6"/>
    <w:rsid w:val="005438E8"/>
    <w:rsid w:val="00543EE2"/>
    <w:rsid w:val="00544468"/>
    <w:rsid w:val="00544589"/>
    <w:rsid w:val="00547297"/>
    <w:rsid w:val="005473D0"/>
    <w:rsid w:val="005476FF"/>
    <w:rsid w:val="00547835"/>
    <w:rsid w:val="005514EA"/>
    <w:rsid w:val="00551AEE"/>
    <w:rsid w:val="005526F9"/>
    <w:rsid w:val="00555462"/>
    <w:rsid w:val="00556507"/>
    <w:rsid w:val="00560A9D"/>
    <w:rsid w:val="00560B61"/>
    <w:rsid w:val="00561900"/>
    <w:rsid w:val="0056222B"/>
    <w:rsid w:val="00563A0D"/>
    <w:rsid w:val="005640E8"/>
    <w:rsid w:val="00564933"/>
    <w:rsid w:val="0056504C"/>
    <w:rsid w:val="00565B12"/>
    <w:rsid w:val="005671EA"/>
    <w:rsid w:val="005673D1"/>
    <w:rsid w:val="00567404"/>
    <w:rsid w:val="00570687"/>
    <w:rsid w:val="00571FA4"/>
    <w:rsid w:val="00572B07"/>
    <w:rsid w:val="00574C13"/>
    <w:rsid w:val="00574F89"/>
    <w:rsid w:val="00576A54"/>
    <w:rsid w:val="00576AB8"/>
    <w:rsid w:val="00577031"/>
    <w:rsid w:val="00577EAF"/>
    <w:rsid w:val="005807D0"/>
    <w:rsid w:val="00580B70"/>
    <w:rsid w:val="00581134"/>
    <w:rsid w:val="00581B1A"/>
    <w:rsid w:val="00581CA3"/>
    <w:rsid w:val="00583374"/>
    <w:rsid w:val="005865D2"/>
    <w:rsid w:val="005876C2"/>
    <w:rsid w:val="00587C8E"/>
    <w:rsid w:val="00590BB5"/>
    <w:rsid w:val="00591255"/>
    <w:rsid w:val="00591557"/>
    <w:rsid w:val="00591F0A"/>
    <w:rsid w:val="0059226B"/>
    <w:rsid w:val="005922ED"/>
    <w:rsid w:val="005946EE"/>
    <w:rsid w:val="00594BC4"/>
    <w:rsid w:val="0059636E"/>
    <w:rsid w:val="00596CF4"/>
    <w:rsid w:val="00597A39"/>
    <w:rsid w:val="005A0992"/>
    <w:rsid w:val="005A0CE6"/>
    <w:rsid w:val="005A1003"/>
    <w:rsid w:val="005A16E8"/>
    <w:rsid w:val="005A1EE7"/>
    <w:rsid w:val="005A1F91"/>
    <w:rsid w:val="005A3736"/>
    <w:rsid w:val="005A45E9"/>
    <w:rsid w:val="005A54EE"/>
    <w:rsid w:val="005A5DE6"/>
    <w:rsid w:val="005A7573"/>
    <w:rsid w:val="005B01B0"/>
    <w:rsid w:val="005B07D8"/>
    <w:rsid w:val="005B0C55"/>
    <w:rsid w:val="005B1869"/>
    <w:rsid w:val="005B23F7"/>
    <w:rsid w:val="005B3530"/>
    <w:rsid w:val="005B3A04"/>
    <w:rsid w:val="005B4577"/>
    <w:rsid w:val="005B4D29"/>
    <w:rsid w:val="005B6AB4"/>
    <w:rsid w:val="005B6ADE"/>
    <w:rsid w:val="005B6F39"/>
    <w:rsid w:val="005B72D0"/>
    <w:rsid w:val="005B7643"/>
    <w:rsid w:val="005B7B68"/>
    <w:rsid w:val="005B7BAB"/>
    <w:rsid w:val="005C05A2"/>
    <w:rsid w:val="005C0645"/>
    <w:rsid w:val="005C067A"/>
    <w:rsid w:val="005C0E30"/>
    <w:rsid w:val="005C216F"/>
    <w:rsid w:val="005C381B"/>
    <w:rsid w:val="005C393E"/>
    <w:rsid w:val="005C47BF"/>
    <w:rsid w:val="005C5403"/>
    <w:rsid w:val="005C71BA"/>
    <w:rsid w:val="005C79F5"/>
    <w:rsid w:val="005C7A43"/>
    <w:rsid w:val="005C7ED4"/>
    <w:rsid w:val="005C7EFF"/>
    <w:rsid w:val="005D1EED"/>
    <w:rsid w:val="005D2100"/>
    <w:rsid w:val="005D257B"/>
    <w:rsid w:val="005D2D32"/>
    <w:rsid w:val="005D2FF5"/>
    <w:rsid w:val="005D35C7"/>
    <w:rsid w:val="005D443F"/>
    <w:rsid w:val="005D53B4"/>
    <w:rsid w:val="005D53CC"/>
    <w:rsid w:val="005D5A3B"/>
    <w:rsid w:val="005D65D1"/>
    <w:rsid w:val="005D6F11"/>
    <w:rsid w:val="005D781A"/>
    <w:rsid w:val="005E027B"/>
    <w:rsid w:val="005E1E90"/>
    <w:rsid w:val="005E3211"/>
    <w:rsid w:val="005E3679"/>
    <w:rsid w:val="005E39C6"/>
    <w:rsid w:val="005E492D"/>
    <w:rsid w:val="005E593F"/>
    <w:rsid w:val="005E68BB"/>
    <w:rsid w:val="005E6C30"/>
    <w:rsid w:val="005E6C76"/>
    <w:rsid w:val="005E7D8C"/>
    <w:rsid w:val="005F0C77"/>
    <w:rsid w:val="005F1606"/>
    <w:rsid w:val="005F3198"/>
    <w:rsid w:val="005F3207"/>
    <w:rsid w:val="005F38CE"/>
    <w:rsid w:val="005F3B9B"/>
    <w:rsid w:val="005F5F60"/>
    <w:rsid w:val="005F5F97"/>
    <w:rsid w:val="005F6B72"/>
    <w:rsid w:val="005F706C"/>
    <w:rsid w:val="005F78CF"/>
    <w:rsid w:val="005F7D94"/>
    <w:rsid w:val="00600426"/>
    <w:rsid w:val="0060050C"/>
    <w:rsid w:val="006009AE"/>
    <w:rsid w:val="0060101F"/>
    <w:rsid w:val="006010B1"/>
    <w:rsid w:val="006015B9"/>
    <w:rsid w:val="00603177"/>
    <w:rsid w:val="006045ED"/>
    <w:rsid w:val="00604B21"/>
    <w:rsid w:val="006059A0"/>
    <w:rsid w:val="00605B5D"/>
    <w:rsid w:val="00607314"/>
    <w:rsid w:val="0061025F"/>
    <w:rsid w:val="00610F77"/>
    <w:rsid w:val="0061140A"/>
    <w:rsid w:val="006116BA"/>
    <w:rsid w:val="0061218E"/>
    <w:rsid w:val="00612678"/>
    <w:rsid w:val="00613508"/>
    <w:rsid w:val="0061387C"/>
    <w:rsid w:val="00614B04"/>
    <w:rsid w:val="00614D91"/>
    <w:rsid w:val="006166B3"/>
    <w:rsid w:val="00616B69"/>
    <w:rsid w:val="0061783A"/>
    <w:rsid w:val="00617DCD"/>
    <w:rsid w:val="006210DE"/>
    <w:rsid w:val="00621B34"/>
    <w:rsid w:val="00621EDA"/>
    <w:rsid w:val="006234F5"/>
    <w:rsid w:val="00623F1C"/>
    <w:rsid w:val="00625941"/>
    <w:rsid w:val="0062595B"/>
    <w:rsid w:val="006259E7"/>
    <w:rsid w:val="00625B6E"/>
    <w:rsid w:val="00627CB0"/>
    <w:rsid w:val="00630FE2"/>
    <w:rsid w:val="00631477"/>
    <w:rsid w:val="006319F3"/>
    <w:rsid w:val="006324B7"/>
    <w:rsid w:val="006325D8"/>
    <w:rsid w:val="006327F7"/>
    <w:rsid w:val="00632BE5"/>
    <w:rsid w:val="0063410B"/>
    <w:rsid w:val="006402D0"/>
    <w:rsid w:val="0064097E"/>
    <w:rsid w:val="00640C4E"/>
    <w:rsid w:val="00640CA0"/>
    <w:rsid w:val="00642051"/>
    <w:rsid w:val="0064229C"/>
    <w:rsid w:val="00642897"/>
    <w:rsid w:val="00642DA3"/>
    <w:rsid w:val="006446D6"/>
    <w:rsid w:val="006455CA"/>
    <w:rsid w:val="00645F14"/>
    <w:rsid w:val="0064614D"/>
    <w:rsid w:val="00647008"/>
    <w:rsid w:val="00647F27"/>
    <w:rsid w:val="0065021D"/>
    <w:rsid w:val="00650573"/>
    <w:rsid w:val="00650A83"/>
    <w:rsid w:val="00650F59"/>
    <w:rsid w:val="006510C3"/>
    <w:rsid w:val="00651842"/>
    <w:rsid w:val="006518D5"/>
    <w:rsid w:val="0065212A"/>
    <w:rsid w:val="00652137"/>
    <w:rsid w:val="006525B3"/>
    <w:rsid w:val="006525B8"/>
    <w:rsid w:val="00652631"/>
    <w:rsid w:val="00652751"/>
    <w:rsid w:val="006536EE"/>
    <w:rsid w:val="0065405B"/>
    <w:rsid w:val="00654FC4"/>
    <w:rsid w:val="0065728C"/>
    <w:rsid w:val="00657819"/>
    <w:rsid w:val="00657F01"/>
    <w:rsid w:val="006603B6"/>
    <w:rsid w:val="0066041B"/>
    <w:rsid w:val="00660E32"/>
    <w:rsid w:val="00661E71"/>
    <w:rsid w:val="0066210D"/>
    <w:rsid w:val="00662874"/>
    <w:rsid w:val="00664C6F"/>
    <w:rsid w:val="00665227"/>
    <w:rsid w:val="006654C1"/>
    <w:rsid w:val="00665BED"/>
    <w:rsid w:val="00666A71"/>
    <w:rsid w:val="0066763D"/>
    <w:rsid w:val="006707FF"/>
    <w:rsid w:val="006709FB"/>
    <w:rsid w:val="006717A0"/>
    <w:rsid w:val="0067236D"/>
    <w:rsid w:val="006725F1"/>
    <w:rsid w:val="00672A53"/>
    <w:rsid w:val="006730F1"/>
    <w:rsid w:val="006731EF"/>
    <w:rsid w:val="00673BF4"/>
    <w:rsid w:val="006743B5"/>
    <w:rsid w:val="00675D7B"/>
    <w:rsid w:val="0067670C"/>
    <w:rsid w:val="0068070E"/>
    <w:rsid w:val="00681652"/>
    <w:rsid w:val="0068194C"/>
    <w:rsid w:val="00682321"/>
    <w:rsid w:val="00683DDB"/>
    <w:rsid w:val="00683E17"/>
    <w:rsid w:val="006847B4"/>
    <w:rsid w:val="00684F7E"/>
    <w:rsid w:val="0068537B"/>
    <w:rsid w:val="00686E6E"/>
    <w:rsid w:val="00686FB2"/>
    <w:rsid w:val="00687961"/>
    <w:rsid w:val="006904DF"/>
    <w:rsid w:val="00690FB0"/>
    <w:rsid w:val="00692132"/>
    <w:rsid w:val="00692C3C"/>
    <w:rsid w:val="00693173"/>
    <w:rsid w:val="00693260"/>
    <w:rsid w:val="00693CF6"/>
    <w:rsid w:val="006955D2"/>
    <w:rsid w:val="006A00C6"/>
    <w:rsid w:val="006A107F"/>
    <w:rsid w:val="006A1539"/>
    <w:rsid w:val="006A2E19"/>
    <w:rsid w:val="006A30BA"/>
    <w:rsid w:val="006A46DA"/>
    <w:rsid w:val="006A4E8E"/>
    <w:rsid w:val="006A54B8"/>
    <w:rsid w:val="006A580F"/>
    <w:rsid w:val="006A5EF4"/>
    <w:rsid w:val="006A5F01"/>
    <w:rsid w:val="006A6F5D"/>
    <w:rsid w:val="006A76B7"/>
    <w:rsid w:val="006B0AD0"/>
    <w:rsid w:val="006B28FC"/>
    <w:rsid w:val="006B37A2"/>
    <w:rsid w:val="006B3881"/>
    <w:rsid w:val="006B47DD"/>
    <w:rsid w:val="006B4E8F"/>
    <w:rsid w:val="006B4F7C"/>
    <w:rsid w:val="006B5871"/>
    <w:rsid w:val="006B59CE"/>
    <w:rsid w:val="006B5BAF"/>
    <w:rsid w:val="006B617C"/>
    <w:rsid w:val="006B6667"/>
    <w:rsid w:val="006B7658"/>
    <w:rsid w:val="006C12EA"/>
    <w:rsid w:val="006C1C2A"/>
    <w:rsid w:val="006C1C2C"/>
    <w:rsid w:val="006C213D"/>
    <w:rsid w:val="006C24C6"/>
    <w:rsid w:val="006C2EF7"/>
    <w:rsid w:val="006C34A1"/>
    <w:rsid w:val="006C3A16"/>
    <w:rsid w:val="006C3F79"/>
    <w:rsid w:val="006C4C0B"/>
    <w:rsid w:val="006C4E73"/>
    <w:rsid w:val="006C560A"/>
    <w:rsid w:val="006C726E"/>
    <w:rsid w:val="006C732C"/>
    <w:rsid w:val="006C7ACE"/>
    <w:rsid w:val="006D089B"/>
    <w:rsid w:val="006D15F2"/>
    <w:rsid w:val="006D1AC9"/>
    <w:rsid w:val="006D27D0"/>
    <w:rsid w:val="006D32BA"/>
    <w:rsid w:val="006D3BEC"/>
    <w:rsid w:val="006D3F6E"/>
    <w:rsid w:val="006D5E96"/>
    <w:rsid w:val="006D6482"/>
    <w:rsid w:val="006D6B75"/>
    <w:rsid w:val="006D6E49"/>
    <w:rsid w:val="006D79BE"/>
    <w:rsid w:val="006D7D64"/>
    <w:rsid w:val="006E1198"/>
    <w:rsid w:val="006E1B0A"/>
    <w:rsid w:val="006E206B"/>
    <w:rsid w:val="006E3428"/>
    <w:rsid w:val="006E3914"/>
    <w:rsid w:val="006E3E0B"/>
    <w:rsid w:val="006E4444"/>
    <w:rsid w:val="006E459E"/>
    <w:rsid w:val="006E5037"/>
    <w:rsid w:val="006E53AB"/>
    <w:rsid w:val="006E57AF"/>
    <w:rsid w:val="006E610A"/>
    <w:rsid w:val="006E6D22"/>
    <w:rsid w:val="006F0176"/>
    <w:rsid w:val="006F0517"/>
    <w:rsid w:val="006F19A7"/>
    <w:rsid w:val="006F2D07"/>
    <w:rsid w:val="006F2D2E"/>
    <w:rsid w:val="006F3F77"/>
    <w:rsid w:val="006F4025"/>
    <w:rsid w:val="006F40AC"/>
    <w:rsid w:val="006F4FEB"/>
    <w:rsid w:val="00700026"/>
    <w:rsid w:val="007009EA"/>
    <w:rsid w:val="0070133D"/>
    <w:rsid w:val="007019D0"/>
    <w:rsid w:val="00701E7A"/>
    <w:rsid w:val="00703050"/>
    <w:rsid w:val="00703862"/>
    <w:rsid w:val="00706761"/>
    <w:rsid w:val="00707AAA"/>
    <w:rsid w:val="00710485"/>
    <w:rsid w:val="00710A9D"/>
    <w:rsid w:val="00711CFA"/>
    <w:rsid w:val="00711F9B"/>
    <w:rsid w:val="007121D5"/>
    <w:rsid w:val="00712416"/>
    <w:rsid w:val="007125CB"/>
    <w:rsid w:val="00712632"/>
    <w:rsid w:val="00712887"/>
    <w:rsid w:val="00714942"/>
    <w:rsid w:val="00717708"/>
    <w:rsid w:val="00720267"/>
    <w:rsid w:val="007203D9"/>
    <w:rsid w:val="007204D5"/>
    <w:rsid w:val="00722C20"/>
    <w:rsid w:val="00723193"/>
    <w:rsid w:val="0072339C"/>
    <w:rsid w:val="007239ED"/>
    <w:rsid w:val="00723E32"/>
    <w:rsid w:val="00725A06"/>
    <w:rsid w:val="00725D91"/>
    <w:rsid w:val="00726CD9"/>
    <w:rsid w:val="00731175"/>
    <w:rsid w:val="0073167F"/>
    <w:rsid w:val="00733449"/>
    <w:rsid w:val="007338E6"/>
    <w:rsid w:val="00733E78"/>
    <w:rsid w:val="00734707"/>
    <w:rsid w:val="007358D7"/>
    <w:rsid w:val="00735B63"/>
    <w:rsid w:val="00735C64"/>
    <w:rsid w:val="00740A7D"/>
    <w:rsid w:val="0074141B"/>
    <w:rsid w:val="00741C92"/>
    <w:rsid w:val="00741EDC"/>
    <w:rsid w:val="0074234D"/>
    <w:rsid w:val="00742377"/>
    <w:rsid w:val="007431E0"/>
    <w:rsid w:val="0074397B"/>
    <w:rsid w:val="00744A40"/>
    <w:rsid w:val="00744B30"/>
    <w:rsid w:val="00746F1A"/>
    <w:rsid w:val="00746F1F"/>
    <w:rsid w:val="0075078A"/>
    <w:rsid w:val="00750913"/>
    <w:rsid w:val="007512A8"/>
    <w:rsid w:val="0075247E"/>
    <w:rsid w:val="007524D0"/>
    <w:rsid w:val="00752761"/>
    <w:rsid w:val="00753EEC"/>
    <w:rsid w:val="00755462"/>
    <w:rsid w:val="0075696E"/>
    <w:rsid w:val="007573EB"/>
    <w:rsid w:val="0075750B"/>
    <w:rsid w:val="007575A7"/>
    <w:rsid w:val="00757977"/>
    <w:rsid w:val="00757D65"/>
    <w:rsid w:val="007606E6"/>
    <w:rsid w:val="00760B28"/>
    <w:rsid w:val="00760D69"/>
    <w:rsid w:val="00762050"/>
    <w:rsid w:val="00762F02"/>
    <w:rsid w:val="0076342D"/>
    <w:rsid w:val="00764A34"/>
    <w:rsid w:val="00765D23"/>
    <w:rsid w:val="00766C06"/>
    <w:rsid w:val="00766E60"/>
    <w:rsid w:val="00767170"/>
    <w:rsid w:val="007679CF"/>
    <w:rsid w:val="0077019D"/>
    <w:rsid w:val="0077024A"/>
    <w:rsid w:val="007720A5"/>
    <w:rsid w:val="007724F1"/>
    <w:rsid w:val="00772668"/>
    <w:rsid w:val="00772827"/>
    <w:rsid w:val="00772B4D"/>
    <w:rsid w:val="00772E85"/>
    <w:rsid w:val="0077477B"/>
    <w:rsid w:val="00775271"/>
    <w:rsid w:val="0077528D"/>
    <w:rsid w:val="007754FC"/>
    <w:rsid w:val="00775E1C"/>
    <w:rsid w:val="00775F5C"/>
    <w:rsid w:val="00777EE1"/>
    <w:rsid w:val="00781324"/>
    <w:rsid w:val="007826CE"/>
    <w:rsid w:val="00782CE8"/>
    <w:rsid w:val="007830E9"/>
    <w:rsid w:val="00783387"/>
    <w:rsid w:val="00783441"/>
    <w:rsid w:val="00784228"/>
    <w:rsid w:val="00785FCD"/>
    <w:rsid w:val="0078707D"/>
    <w:rsid w:val="00787772"/>
    <w:rsid w:val="00787AEB"/>
    <w:rsid w:val="00787CA2"/>
    <w:rsid w:val="007903EC"/>
    <w:rsid w:val="007909D5"/>
    <w:rsid w:val="00790BD5"/>
    <w:rsid w:val="007912E5"/>
    <w:rsid w:val="0079199B"/>
    <w:rsid w:val="007921C5"/>
    <w:rsid w:val="00793072"/>
    <w:rsid w:val="00793343"/>
    <w:rsid w:val="00794E27"/>
    <w:rsid w:val="00795F54"/>
    <w:rsid w:val="007979D0"/>
    <w:rsid w:val="007A0B2D"/>
    <w:rsid w:val="007A2485"/>
    <w:rsid w:val="007A3873"/>
    <w:rsid w:val="007A6A47"/>
    <w:rsid w:val="007A716C"/>
    <w:rsid w:val="007B0B63"/>
    <w:rsid w:val="007B0BD3"/>
    <w:rsid w:val="007B234F"/>
    <w:rsid w:val="007B2628"/>
    <w:rsid w:val="007B2AFB"/>
    <w:rsid w:val="007B2B48"/>
    <w:rsid w:val="007B35EF"/>
    <w:rsid w:val="007B36E4"/>
    <w:rsid w:val="007B3A62"/>
    <w:rsid w:val="007B409A"/>
    <w:rsid w:val="007B4A24"/>
    <w:rsid w:val="007B4BA3"/>
    <w:rsid w:val="007B6C56"/>
    <w:rsid w:val="007C0048"/>
    <w:rsid w:val="007C0065"/>
    <w:rsid w:val="007C1265"/>
    <w:rsid w:val="007C1347"/>
    <w:rsid w:val="007C40EE"/>
    <w:rsid w:val="007C67F4"/>
    <w:rsid w:val="007C72D6"/>
    <w:rsid w:val="007C7CDC"/>
    <w:rsid w:val="007D014C"/>
    <w:rsid w:val="007D08F5"/>
    <w:rsid w:val="007D255D"/>
    <w:rsid w:val="007D2EA1"/>
    <w:rsid w:val="007D37A3"/>
    <w:rsid w:val="007D57DD"/>
    <w:rsid w:val="007D6CF3"/>
    <w:rsid w:val="007D6DEC"/>
    <w:rsid w:val="007D71FE"/>
    <w:rsid w:val="007E0A6F"/>
    <w:rsid w:val="007E132B"/>
    <w:rsid w:val="007E1360"/>
    <w:rsid w:val="007E151B"/>
    <w:rsid w:val="007E17E1"/>
    <w:rsid w:val="007E2B8B"/>
    <w:rsid w:val="007E2D4E"/>
    <w:rsid w:val="007E2E75"/>
    <w:rsid w:val="007E3C07"/>
    <w:rsid w:val="007E4520"/>
    <w:rsid w:val="007E4DD4"/>
    <w:rsid w:val="007E7887"/>
    <w:rsid w:val="007F1A46"/>
    <w:rsid w:val="007F1D87"/>
    <w:rsid w:val="007F2BC1"/>
    <w:rsid w:val="007F37D7"/>
    <w:rsid w:val="007F3C2F"/>
    <w:rsid w:val="007F4491"/>
    <w:rsid w:val="007F4526"/>
    <w:rsid w:val="007F46BD"/>
    <w:rsid w:val="007F6CF3"/>
    <w:rsid w:val="007F70D4"/>
    <w:rsid w:val="00800D1A"/>
    <w:rsid w:val="0080196B"/>
    <w:rsid w:val="00802A08"/>
    <w:rsid w:val="00802AA7"/>
    <w:rsid w:val="008039B4"/>
    <w:rsid w:val="00805339"/>
    <w:rsid w:val="008063C0"/>
    <w:rsid w:val="00807D45"/>
    <w:rsid w:val="0081099D"/>
    <w:rsid w:val="00810FE4"/>
    <w:rsid w:val="00811C4F"/>
    <w:rsid w:val="00812E1E"/>
    <w:rsid w:val="008146C8"/>
    <w:rsid w:val="00814789"/>
    <w:rsid w:val="008147D9"/>
    <w:rsid w:val="008147E2"/>
    <w:rsid w:val="00814EBA"/>
    <w:rsid w:val="00815652"/>
    <w:rsid w:val="00816D05"/>
    <w:rsid w:val="00817057"/>
    <w:rsid w:val="008170AD"/>
    <w:rsid w:val="00817D97"/>
    <w:rsid w:val="00821C69"/>
    <w:rsid w:val="00821DD9"/>
    <w:rsid w:val="00822C6E"/>
    <w:rsid w:val="00824652"/>
    <w:rsid w:val="00827D3C"/>
    <w:rsid w:val="00830C30"/>
    <w:rsid w:val="008314A5"/>
    <w:rsid w:val="0083173E"/>
    <w:rsid w:val="008330CE"/>
    <w:rsid w:val="008339D0"/>
    <w:rsid w:val="00833E13"/>
    <w:rsid w:val="00834CED"/>
    <w:rsid w:val="0083589E"/>
    <w:rsid w:val="008366B5"/>
    <w:rsid w:val="00837ACB"/>
    <w:rsid w:val="00837F0A"/>
    <w:rsid w:val="00840227"/>
    <w:rsid w:val="00840FD1"/>
    <w:rsid w:val="00842D36"/>
    <w:rsid w:val="00843A53"/>
    <w:rsid w:val="00843B56"/>
    <w:rsid w:val="00843C3E"/>
    <w:rsid w:val="00845123"/>
    <w:rsid w:val="00845624"/>
    <w:rsid w:val="0084591F"/>
    <w:rsid w:val="0084656D"/>
    <w:rsid w:val="00851548"/>
    <w:rsid w:val="00852633"/>
    <w:rsid w:val="00853FF0"/>
    <w:rsid w:val="00854925"/>
    <w:rsid w:val="00854936"/>
    <w:rsid w:val="00854C74"/>
    <w:rsid w:val="00854E8A"/>
    <w:rsid w:val="008550D0"/>
    <w:rsid w:val="008558A9"/>
    <w:rsid w:val="00856686"/>
    <w:rsid w:val="00856BC2"/>
    <w:rsid w:val="00860BEE"/>
    <w:rsid w:val="00860D8D"/>
    <w:rsid w:val="00860E8D"/>
    <w:rsid w:val="00860FA7"/>
    <w:rsid w:val="00861308"/>
    <w:rsid w:val="00861A47"/>
    <w:rsid w:val="00861DAC"/>
    <w:rsid w:val="00866F68"/>
    <w:rsid w:val="00867128"/>
    <w:rsid w:val="00870826"/>
    <w:rsid w:val="0087289B"/>
    <w:rsid w:val="00872E11"/>
    <w:rsid w:val="00873D2A"/>
    <w:rsid w:val="00874512"/>
    <w:rsid w:val="0087467B"/>
    <w:rsid w:val="00874915"/>
    <w:rsid w:val="00874F45"/>
    <w:rsid w:val="008753AA"/>
    <w:rsid w:val="00876135"/>
    <w:rsid w:val="0087650F"/>
    <w:rsid w:val="00876B0D"/>
    <w:rsid w:val="00876B92"/>
    <w:rsid w:val="0088019A"/>
    <w:rsid w:val="00880BE6"/>
    <w:rsid w:val="00881837"/>
    <w:rsid w:val="00881C86"/>
    <w:rsid w:val="00882191"/>
    <w:rsid w:val="0088233B"/>
    <w:rsid w:val="008843F9"/>
    <w:rsid w:val="00885110"/>
    <w:rsid w:val="00885311"/>
    <w:rsid w:val="00885CA3"/>
    <w:rsid w:val="00885D8F"/>
    <w:rsid w:val="0088773C"/>
    <w:rsid w:val="00887795"/>
    <w:rsid w:val="00890903"/>
    <w:rsid w:val="00890A0B"/>
    <w:rsid w:val="0089242E"/>
    <w:rsid w:val="00892DA8"/>
    <w:rsid w:val="0089336E"/>
    <w:rsid w:val="008933A9"/>
    <w:rsid w:val="00894095"/>
    <w:rsid w:val="008949F5"/>
    <w:rsid w:val="00894CEA"/>
    <w:rsid w:val="008A0C55"/>
    <w:rsid w:val="008A20D0"/>
    <w:rsid w:val="008A3653"/>
    <w:rsid w:val="008A3ABC"/>
    <w:rsid w:val="008A4FA0"/>
    <w:rsid w:val="008A5C71"/>
    <w:rsid w:val="008A5FC4"/>
    <w:rsid w:val="008A7556"/>
    <w:rsid w:val="008A7EAF"/>
    <w:rsid w:val="008B0444"/>
    <w:rsid w:val="008B0FAE"/>
    <w:rsid w:val="008B30C8"/>
    <w:rsid w:val="008B3BA6"/>
    <w:rsid w:val="008B3F5C"/>
    <w:rsid w:val="008B43E3"/>
    <w:rsid w:val="008B5DE5"/>
    <w:rsid w:val="008B5EFD"/>
    <w:rsid w:val="008B72AE"/>
    <w:rsid w:val="008B748E"/>
    <w:rsid w:val="008B7AFD"/>
    <w:rsid w:val="008C0051"/>
    <w:rsid w:val="008C02E3"/>
    <w:rsid w:val="008C1214"/>
    <w:rsid w:val="008C12F4"/>
    <w:rsid w:val="008C2A85"/>
    <w:rsid w:val="008C3097"/>
    <w:rsid w:val="008C3296"/>
    <w:rsid w:val="008C39C3"/>
    <w:rsid w:val="008C3AF3"/>
    <w:rsid w:val="008C3B78"/>
    <w:rsid w:val="008C4336"/>
    <w:rsid w:val="008C461A"/>
    <w:rsid w:val="008C4742"/>
    <w:rsid w:val="008C5B02"/>
    <w:rsid w:val="008C6A5B"/>
    <w:rsid w:val="008D136E"/>
    <w:rsid w:val="008D175F"/>
    <w:rsid w:val="008D2C63"/>
    <w:rsid w:val="008D2CA2"/>
    <w:rsid w:val="008D2D4D"/>
    <w:rsid w:val="008D3A0F"/>
    <w:rsid w:val="008D45B4"/>
    <w:rsid w:val="008D46D6"/>
    <w:rsid w:val="008D4947"/>
    <w:rsid w:val="008D4F39"/>
    <w:rsid w:val="008D57EE"/>
    <w:rsid w:val="008D660D"/>
    <w:rsid w:val="008D676A"/>
    <w:rsid w:val="008D6A34"/>
    <w:rsid w:val="008D6BF3"/>
    <w:rsid w:val="008E050B"/>
    <w:rsid w:val="008E0CB4"/>
    <w:rsid w:val="008E108B"/>
    <w:rsid w:val="008E1267"/>
    <w:rsid w:val="008E16B7"/>
    <w:rsid w:val="008E19A0"/>
    <w:rsid w:val="008E2A69"/>
    <w:rsid w:val="008E2C99"/>
    <w:rsid w:val="008E3303"/>
    <w:rsid w:val="008E3CBE"/>
    <w:rsid w:val="008E3CE8"/>
    <w:rsid w:val="008E4EE7"/>
    <w:rsid w:val="008E596F"/>
    <w:rsid w:val="008E5AC9"/>
    <w:rsid w:val="008E676A"/>
    <w:rsid w:val="008F0184"/>
    <w:rsid w:val="008F0BE7"/>
    <w:rsid w:val="008F1696"/>
    <w:rsid w:val="008F24CB"/>
    <w:rsid w:val="008F2A55"/>
    <w:rsid w:val="008F2B4A"/>
    <w:rsid w:val="008F35A5"/>
    <w:rsid w:val="008F3704"/>
    <w:rsid w:val="008F4056"/>
    <w:rsid w:val="008F4588"/>
    <w:rsid w:val="008F4945"/>
    <w:rsid w:val="008F4967"/>
    <w:rsid w:val="008F5773"/>
    <w:rsid w:val="008F5F66"/>
    <w:rsid w:val="008F7106"/>
    <w:rsid w:val="008F77A6"/>
    <w:rsid w:val="009006D0"/>
    <w:rsid w:val="00900A38"/>
    <w:rsid w:val="0090152A"/>
    <w:rsid w:val="00902AA9"/>
    <w:rsid w:val="0090416B"/>
    <w:rsid w:val="0090526D"/>
    <w:rsid w:val="0090530C"/>
    <w:rsid w:val="0090604E"/>
    <w:rsid w:val="0090636A"/>
    <w:rsid w:val="00906DAC"/>
    <w:rsid w:val="00907C24"/>
    <w:rsid w:val="00910413"/>
    <w:rsid w:val="00914060"/>
    <w:rsid w:val="00914930"/>
    <w:rsid w:val="00915141"/>
    <w:rsid w:val="00916BEE"/>
    <w:rsid w:val="00916CC0"/>
    <w:rsid w:val="009179CD"/>
    <w:rsid w:val="00917C2D"/>
    <w:rsid w:val="009212D3"/>
    <w:rsid w:val="00921701"/>
    <w:rsid w:val="00921B7A"/>
    <w:rsid w:val="00922393"/>
    <w:rsid w:val="0092239F"/>
    <w:rsid w:val="00922432"/>
    <w:rsid w:val="00922732"/>
    <w:rsid w:val="0092387B"/>
    <w:rsid w:val="00923F15"/>
    <w:rsid w:val="00923F4D"/>
    <w:rsid w:val="009244F4"/>
    <w:rsid w:val="009250A4"/>
    <w:rsid w:val="009261E5"/>
    <w:rsid w:val="00926443"/>
    <w:rsid w:val="00926C37"/>
    <w:rsid w:val="00926E52"/>
    <w:rsid w:val="00927CBC"/>
    <w:rsid w:val="00927EE6"/>
    <w:rsid w:val="00930105"/>
    <w:rsid w:val="00930634"/>
    <w:rsid w:val="0093144D"/>
    <w:rsid w:val="009318BC"/>
    <w:rsid w:val="00932BA3"/>
    <w:rsid w:val="0093349C"/>
    <w:rsid w:val="00934219"/>
    <w:rsid w:val="0093479D"/>
    <w:rsid w:val="0093484F"/>
    <w:rsid w:val="00935AA8"/>
    <w:rsid w:val="009372D6"/>
    <w:rsid w:val="0093735D"/>
    <w:rsid w:val="00937A26"/>
    <w:rsid w:val="00940F87"/>
    <w:rsid w:val="00941D1E"/>
    <w:rsid w:val="00941E00"/>
    <w:rsid w:val="00941EB5"/>
    <w:rsid w:val="00942C6C"/>
    <w:rsid w:val="00943ECA"/>
    <w:rsid w:val="00944121"/>
    <w:rsid w:val="009452AB"/>
    <w:rsid w:val="00945C12"/>
    <w:rsid w:val="009461C2"/>
    <w:rsid w:val="009467F0"/>
    <w:rsid w:val="00946DAB"/>
    <w:rsid w:val="00946DE7"/>
    <w:rsid w:val="00946E56"/>
    <w:rsid w:val="0095060D"/>
    <w:rsid w:val="0095178F"/>
    <w:rsid w:val="00951CDC"/>
    <w:rsid w:val="009522EA"/>
    <w:rsid w:val="009525DC"/>
    <w:rsid w:val="009526D2"/>
    <w:rsid w:val="009531D4"/>
    <w:rsid w:val="00954775"/>
    <w:rsid w:val="009549E1"/>
    <w:rsid w:val="00957071"/>
    <w:rsid w:val="00957E25"/>
    <w:rsid w:val="00960385"/>
    <w:rsid w:val="009609D0"/>
    <w:rsid w:val="00960C2F"/>
    <w:rsid w:val="00961D8F"/>
    <w:rsid w:val="00963110"/>
    <w:rsid w:val="00963C91"/>
    <w:rsid w:val="00963F96"/>
    <w:rsid w:val="00964C91"/>
    <w:rsid w:val="0096520F"/>
    <w:rsid w:val="0096537C"/>
    <w:rsid w:val="009656CE"/>
    <w:rsid w:val="009665A6"/>
    <w:rsid w:val="00967537"/>
    <w:rsid w:val="00967CDB"/>
    <w:rsid w:val="0097081C"/>
    <w:rsid w:val="00972AF8"/>
    <w:rsid w:val="00973CEE"/>
    <w:rsid w:val="00974947"/>
    <w:rsid w:val="009758FE"/>
    <w:rsid w:val="0097660B"/>
    <w:rsid w:val="00977733"/>
    <w:rsid w:val="009777E5"/>
    <w:rsid w:val="009800B1"/>
    <w:rsid w:val="0098010F"/>
    <w:rsid w:val="00980E28"/>
    <w:rsid w:val="00982FA4"/>
    <w:rsid w:val="00984A80"/>
    <w:rsid w:val="00984B62"/>
    <w:rsid w:val="00984C89"/>
    <w:rsid w:val="00984E40"/>
    <w:rsid w:val="009858C7"/>
    <w:rsid w:val="009863A9"/>
    <w:rsid w:val="0098674C"/>
    <w:rsid w:val="00986987"/>
    <w:rsid w:val="00986AB7"/>
    <w:rsid w:val="00987079"/>
    <w:rsid w:val="00987374"/>
    <w:rsid w:val="009873C3"/>
    <w:rsid w:val="00987BF9"/>
    <w:rsid w:val="009921DD"/>
    <w:rsid w:val="00993DD3"/>
    <w:rsid w:val="009942D9"/>
    <w:rsid w:val="00994620"/>
    <w:rsid w:val="009961E1"/>
    <w:rsid w:val="00996767"/>
    <w:rsid w:val="00996804"/>
    <w:rsid w:val="00997089"/>
    <w:rsid w:val="009A2BDA"/>
    <w:rsid w:val="009A472A"/>
    <w:rsid w:val="009A47FF"/>
    <w:rsid w:val="009A496B"/>
    <w:rsid w:val="009A5492"/>
    <w:rsid w:val="009A69D7"/>
    <w:rsid w:val="009A6C2D"/>
    <w:rsid w:val="009A73DF"/>
    <w:rsid w:val="009A7C4B"/>
    <w:rsid w:val="009B0455"/>
    <w:rsid w:val="009B103A"/>
    <w:rsid w:val="009B105F"/>
    <w:rsid w:val="009B1426"/>
    <w:rsid w:val="009B1E14"/>
    <w:rsid w:val="009B3532"/>
    <w:rsid w:val="009B37B0"/>
    <w:rsid w:val="009B390F"/>
    <w:rsid w:val="009B3915"/>
    <w:rsid w:val="009B4549"/>
    <w:rsid w:val="009B4C5A"/>
    <w:rsid w:val="009B4D17"/>
    <w:rsid w:val="009B5A54"/>
    <w:rsid w:val="009B5CBC"/>
    <w:rsid w:val="009B642E"/>
    <w:rsid w:val="009B7752"/>
    <w:rsid w:val="009B78A7"/>
    <w:rsid w:val="009C038C"/>
    <w:rsid w:val="009C0DC6"/>
    <w:rsid w:val="009C1541"/>
    <w:rsid w:val="009C1931"/>
    <w:rsid w:val="009C1D92"/>
    <w:rsid w:val="009C1EA5"/>
    <w:rsid w:val="009C235E"/>
    <w:rsid w:val="009C3B32"/>
    <w:rsid w:val="009C46D0"/>
    <w:rsid w:val="009C4CA2"/>
    <w:rsid w:val="009C541C"/>
    <w:rsid w:val="009C55E5"/>
    <w:rsid w:val="009C56EB"/>
    <w:rsid w:val="009C5C06"/>
    <w:rsid w:val="009D0669"/>
    <w:rsid w:val="009D1220"/>
    <w:rsid w:val="009D1C2B"/>
    <w:rsid w:val="009D1F1F"/>
    <w:rsid w:val="009D2A92"/>
    <w:rsid w:val="009D3BD3"/>
    <w:rsid w:val="009D44F5"/>
    <w:rsid w:val="009D4916"/>
    <w:rsid w:val="009D4A13"/>
    <w:rsid w:val="009D4D8F"/>
    <w:rsid w:val="009D4F20"/>
    <w:rsid w:val="009D541F"/>
    <w:rsid w:val="009D5431"/>
    <w:rsid w:val="009D5C88"/>
    <w:rsid w:val="009D72AF"/>
    <w:rsid w:val="009D797E"/>
    <w:rsid w:val="009D7BC7"/>
    <w:rsid w:val="009E0252"/>
    <w:rsid w:val="009E050A"/>
    <w:rsid w:val="009E1EFE"/>
    <w:rsid w:val="009E27E4"/>
    <w:rsid w:val="009E4A37"/>
    <w:rsid w:val="009E5690"/>
    <w:rsid w:val="009E72BB"/>
    <w:rsid w:val="009F022D"/>
    <w:rsid w:val="009F2D9C"/>
    <w:rsid w:val="009F2DEB"/>
    <w:rsid w:val="009F428A"/>
    <w:rsid w:val="009F5C3E"/>
    <w:rsid w:val="009F723D"/>
    <w:rsid w:val="00A000F1"/>
    <w:rsid w:val="00A00D65"/>
    <w:rsid w:val="00A00E35"/>
    <w:rsid w:val="00A019A4"/>
    <w:rsid w:val="00A01B1D"/>
    <w:rsid w:val="00A02071"/>
    <w:rsid w:val="00A02829"/>
    <w:rsid w:val="00A03A32"/>
    <w:rsid w:val="00A03F68"/>
    <w:rsid w:val="00A05375"/>
    <w:rsid w:val="00A05C68"/>
    <w:rsid w:val="00A05E16"/>
    <w:rsid w:val="00A065C6"/>
    <w:rsid w:val="00A071BA"/>
    <w:rsid w:val="00A07271"/>
    <w:rsid w:val="00A07954"/>
    <w:rsid w:val="00A1075E"/>
    <w:rsid w:val="00A12F63"/>
    <w:rsid w:val="00A1395E"/>
    <w:rsid w:val="00A15E6C"/>
    <w:rsid w:val="00A161AD"/>
    <w:rsid w:val="00A20057"/>
    <w:rsid w:val="00A2051E"/>
    <w:rsid w:val="00A20C05"/>
    <w:rsid w:val="00A20F54"/>
    <w:rsid w:val="00A22044"/>
    <w:rsid w:val="00A2293C"/>
    <w:rsid w:val="00A22D06"/>
    <w:rsid w:val="00A244BC"/>
    <w:rsid w:val="00A24F4E"/>
    <w:rsid w:val="00A2543B"/>
    <w:rsid w:val="00A2573C"/>
    <w:rsid w:val="00A25E91"/>
    <w:rsid w:val="00A26E42"/>
    <w:rsid w:val="00A3087D"/>
    <w:rsid w:val="00A31E62"/>
    <w:rsid w:val="00A32A2D"/>
    <w:rsid w:val="00A32D97"/>
    <w:rsid w:val="00A33B3A"/>
    <w:rsid w:val="00A3437C"/>
    <w:rsid w:val="00A344D5"/>
    <w:rsid w:val="00A36EAE"/>
    <w:rsid w:val="00A3745F"/>
    <w:rsid w:val="00A400A3"/>
    <w:rsid w:val="00A41A3E"/>
    <w:rsid w:val="00A42997"/>
    <w:rsid w:val="00A43228"/>
    <w:rsid w:val="00A4346B"/>
    <w:rsid w:val="00A4364B"/>
    <w:rsid w:val="00A43969"/>
    <w:rsid w:val="00A44E45"/>
    <w:rsid w:val="00A4543B"/>
    <w:rsid w:val="00A45DE3"/>
    <w:rsid w:val="00A45EE9"/>
    <w:rsid w:val="00A46617"/>
    <w:rsid w:val="00A46DD2"/>
    <w:rsid w:val="00A47205"/>
    <w:rsid w:val="00A47A8F"/>
    <w:rsid w:val="00A5088A"/>
    <w:rsid w:val="00A50A7C"/>
    <w:rsid w:val="00A50CD0"/>
    <w:rsid w:val="00A50FC8"/>
    <w:rsid w:val="00A52379"/>
    <w:rsid w:val="00A534EB"/>
    <w:rsid w:val="00A542F3"/>
    <w:rsid w:val="00A547B8"/>
    <w:rsid w:val="00A55037"/>
    <w:rsid w:val="00A55475"/>
    <w:rsid w:val="00A56E76"/>
    <w:rsid w:val="00A571A7"/>
    <w:rsid w:val="00A57A17"/>
    <w:rsid w:val="00A6280C"/>
    <w:rsid w:val="00A628D8"/>
    <w:rsid w:val="00A62D0F"/>
    <w:rsid w:val="00A62D1A"/>
    <w:rsid w:val="00A63CCA"/>
    <w:rsid w:val="00A643E3"/>
    <w:rsid w:val="00A65C73"/>
    <w:rsid w:val="00A66097"/>
    <w:rsid w:val="00A712C0"/>
    <w:rsid w:val="00A72217"/>
    <w:rsid w:val="00A72556"/>
    <w:rsid w:val="00A727C0"/>
    <w:rsid w:val="00A730B0"/>
    <w:rsid w:val="00A731DB"/>
    <w:rsid w:val="00A746AB"/>
    <w:rsid w:val="00A748DD"/>
    <w:rsid w:val="00A750F6"/>
    <w:rsid w:val="00A751AD"/>
    <w:rsid w:val="00A7682F"/>
    <w:rsid w:val="00A77F31"/>
    <w:rsid w:val="00A815FE"/>
    <w:rsid w:val="00A82A1E"/>
    <w:rsid w:val="00A82CB0"/>
    <w:rsid w:val="00A846A1"/>
    <w:rsid w:val="00A858DD"/>
    <w:rsid w:val="00A85D07"/>
    <w:rsid w:val="00A878F2"/>
    <w:rsid w:val="00A87998"/>
    <w:rsid w:val="00A90584"/>
    <w:rsid w:val="00A90EC9"/>
    <w:rsid w:val="00A91910"/>
    <w:rsid w:val="00A91AE3"/>
    <w:rsid w:val="00A91CFC"/>
    <w:rsid w:val="00A91E3F"/>
    <w:rsid w:val="00A92284"/>
    <w:rsid w:val="00A927F5"/>
    <w:rsid w:val="00A93089"/>
    <w:rsid w:val="00A931D2"/>
    <w:rsid w:val="00A93DC8"/>
    <w:rsid w:val="00A93E3A"/>
    <w:rsid w:val="00A9436C"/>
    <w:rsid w:val="00A94EAB"/>
    <w:rsid w:val="00A96320"/>
    <w:rsid w:val="00A9711A"/>
    <w:rsid w:val="00A97E14"/>
    <w:rsid w:val="00AA0120"/>
    <w:rsid w:val="00AA0B93"/>
    <w:rsid w:val="00AA2271"/>
    <w:rsid w:val="00AA22AB"/>
    <w:rsid w:val="00AA4C1D"/>
    <w:rsid w:val="00AA6559"/>
    <w:rsid w:val="00AA6B92"/>
    <w:rsid w:val="00AB11E5"/>
    <w:rsid w:val="00AB16E1"/>
    <w:rsid w:val="00AB17CD"/>
    <w:rsid w:val="00AB2919"/>
    <w:rsid w:val="00AB29C7"/>
    <w:rsid w:val="00AB4081"/>
    <w:rsid w:val="00AB4488"/>
    <w:rsid w:val="00AB6EBC"/>
    <w:rsid w:val="00AB6F53"/>
    <w:rsid w:val="00AB70F7"/>
    <w:rsid w:val="00AB77F8"/>
    <w:rsid w:val="00AC09B1"/>
    <w:rsid w:val="00AC1283"/>
    <w:rsid w:val="00AC28DF"/>
    <w:rsid w:val="00AC33EB"/>
    <w:rsid w:val="00AC35C9"/>
    <w:rsid w:val="00AC36AE"/>
    <w:rsid w:val="00AC4DBB"/>
    <w:rsid w:val="00AC4FAE"/>
    <w:rsid w:val="00AC777A"/>
    <w:rsid w:val="00AC7A7D"/>
    <w:rsid w:val="00AD097F"/>
    <w:rsid w:val="00AD1EF3"/>
    <w:rsid w:val="00AD34AC"/>
    <w:rsid w:val="00AD3A7E"/>
    <w:rsid w:val="00AD49AB"/>
    <w:rsid w:val="00AD532F"/>
    <w:rsid w:val="00AD5B68"/>
    <w:rsid w:val="00AD71BB"/>
    <w:rsid w:val="00AE0B46"/>
    <w:rsid w:val="00AE174E"/>
    <w:rsid w:val="00AE218C"/>
    <w:rsid w:val="00AE230B"/>
    <w:rsid w:val="00AE2928"/>
    <w:rsid w:val="00AE2E4B"/>
    <w:rsid w:val="00AE3DE4"/>
    <w:rsid w:val="00AE5407"/>
    <w:rsid w:val="00AE6FBE"/>
    <w:rsid w:val="00AE70F9"/>
    <w:rsid w:val="00AE7E8E"/>
    <w:rsid w:val="00AF0D88"/>
    <w:rsid w:val="00AF146A"/>
    <w:rsid w:val="00AF14E7"/>
    <w:rsid w:val="00AF1B36"/>
    <w:rsid w:val="00AF21EE"/>
    <w:rsid w:val="00AF36C0"/>
    <w:rsid w:val="00AF3CB7"/>
    <w:rsid w:val="00AF4F53"/>
    <w:rsid w:val="00AF559B"/>
    <w:rsid w:val="00AF5DDB"/>
    <w:rsid w:val="00AF654B"/>
    <w:rsid w:val="00AF6646"/>
    <w:rsid w:val="00AF7494"/>
    <w:rsid w:val="00B00273"/>
    <w:rsid w:val="00B01D1B"/>
    <w:rsid w:val="00B02287"/>
    <w:rsid w:val="00B02868"/>
    <w:rsid w:val="00B02992"/>
    <w:rsid w:val="00B043C8"/>
    <w:rsid w:val="00B04E4A"/>
    <w:rsid w:val="00B064C8"/>
    <w:rsid w:val="00B06D79"/>
    <w:rsid w:val="00B070C2"/>
    <w:rsid w:val="00B072E3"/>
    <w:rsid w:val="00B0751C"/>
    <w:rsid w:val="00B102D4"/>
    <w:rsid w:val="00B10CEB"/>
    <w:rsid w:val="00B11051"/>
    <w:rsid w:val="00B11363"/>
    <w:rsid w:val="00B129BE"/>
    <w:rsid w:val="00B12BB2"/>
    <w:rsid w:val="00B13CC2"/>
    <w:rsid w:val="00B14E67"/>
    <w:rsid w:val="00B1578A"/>
    <w:rsid w:val="00B168AA"/>
    <w:rsid w:val="00B1755F"/>
    <w:rsid w:val="00B177BD"/>
    <w:rsid w:val="00B178C4"/>
    <w:rsid w:val="00B17952"/>
    <w:rsid w:val="00B17D5F"/>
    <w:rsid w:val="00B2002B"/>
    <w:rsid w:val="00B204EF"/>
    <w:rsid w:val="00B207BB"/>
    <w:rsid w:val="00B20A17"/>
    <w:rsid w:val="00B20DD4"/>
    <w:rsid w:val="00B21794"/>
    <w:rsid w:val="00B21BCF"/>
    <w:rsid w:val="00B21DDB"/>
    <w:rsid w:val="00B21E06"/>
    <w:rsid w:val="00B21E10"/>
    <w:rsid w:val="00B22C6A"/>
    <w:rsid w:val="00B23E42"/>
    <w:rsid w:val="00B23FEB"/>
    <w:rsid w:val="00B241B5"/>
    <w:rsid w:val="00B2431E"/>
    <w:rsid w:val="00B247AC"/>
    <w:rsid w:val="00B24930"/>
    <w:rsid w:val="00B2540B"/>
    <w:rsid w:val="00B25A60"/>
    <w:rsid w:val="00B262E7"/>
    <w:rsid w:val="00B266D7"/>
    <w:rsid w:val="00B26717"/>
    <w:rsid w:val="00B26C3C"/>
    <w:rsid w:val="00B27DFB"/>
    <w:rsid w:val="00B30B88"/>
    <w:rsid w:val="00B31F40"/>
    <w:rsid w:val="00B326D6"/>
    <w:rsid w:val="00B32AF9"/>
    <w:rsid w:val="00B3306C"/>
    <w:rsid w:val="00B340D3"/>
    <w:rsid w:val="00B341ED"/>
    <w:rsid w:val="00B3420D"/>
    <w:rsid w:val="00B34301"/>
    <w:rsid w:val="00B34380"/>
    <w:rsid w:val="00B34DA5"/>
    <w:rsid w:val="00B35E66"/>
    <w:rsid w:val="00B36E58"/>
    <w:rsid w:val="00B4005D"/>
    <w:rsid w:val="00B40F41"/>
    <w:rsid w:val="00B412D0"/>
    <w:rsid w:val="00B41513"/>
    <w:rsid w:val="00B41C7F"/>
    <w:rsid w:val="00B425A4"/>
    <w:rsid w:val="00B42C9D"/>
    <w:rsid w:val="00B432DF"/>
    <w:rsid w:val="00B444EB"/>
    <w:rsid w:val="00B4495A"/>
    <w:rsid w:val="00B4589A"/>
    <w:rsid w:val="00B45FEB"/>
    <w:rsid w:val="00B4619F"/>
    <w:rsid w:val="00B51283"/>
    <w:rsid w:val="00B51365"/>
    <w:rsid w:val="00B51463"/>
    <w:rsid w:val="00B51F37"/>
    <w:rsid w:val="00B521EA"/>
    <w:rsid w:val="00B5265E"/>
    <w:rsid w:val="00B54406"/>
    <w:rsid w:val="00B54A89"/>
    <w:rsid w:val="00B54ACE"/>
    <w:rsid w:val="00B5568B"/>
    <w:rsid w:val="00B56A57"/>
    <w:rsid w:val="00B609D6"/>
    <w:rsid w:val="00B61345"/>
    <w:rsid w:val="00B61A89"/>
    <w:rsid w:val="00B61FA8"/>
    <w:rsid w:val="00B62A6E"/>
    <w:rsid w:val="00B62DFE"/>
    <w:rsid w:val="00B634A9"/>
    <w:rsid w:val="00B65B00"/>
    <w:rsid w:val="00B6636A"/>
    <w:rsid w:val="00B66E78"/>
    <w:rsid w:val="00B67695"/>
    <w:rsid w:val="00B701FC"/>
    <w:rsid w:val="00B708F4"/>
    <w:rsid w:val="00B70D15"/>
    <w:rsid w:val="00B71D18"/>
    <w:rsid w:val="00B7280B"/>
    <w:rsid w:val="00B749E6"/>
    <w:rsid w:val="00B759A8"/>
    <w:rsid w:val="00B75BD1"/>
    <w:rsid w:val="00B761AB"/>
    <w:rsid w:val="00B76F1E"/>
    <w:rsid w:val="00B80306"/>
    <w:rsid w:val="00B804F2"/>
    <w:rsid w:val="00B808AB"/>
    <w:rsid w:val="00B81B96"/>
    <w:rsid w:val="00B82240"/>
    <w:rsid w:val="00B82264"/>
    <w:rsid w:val="00B8227D"/>
    <w:rsid w:val="00B8254C"/>
    <w:rsid w:val="00B82D84"/>
    <w:rsid w:val="00B8303D"/>
    <w:rsid w:val="00B832CE"/>
    <w:rsid w:val="00B83D2F"/>
    <w:rsid w:val="00B84CD3"/>
    <w:rsid w:val="00B84F06"/>
    <w:rsid w:val="00B85425"/>
    <w:rsid w:val="00B8549A"/>
    <w:rsid w:val="00B856E8"/>
    <w:rsid w:val="00B85E70"/>
    <w:rsid w:val="00B86BC1"/>
    <w:rsid w:val="00B917F8"/>
    <w:rsid w:val="00B9201F"/>
    <w:rsid w:val="00B92102"/>
    <w:rsid w:val="00B9245A"/>
    <w:rsid w:val="00B925B3"/>
    <w:rsid w:val="00B92A5B"/>
    <w:rsid w:val="00B92F04"/>
    <w:rsid w:val="00B93192"/>
    <w:rsid w:val="00B93DE8"/>
    <w:rsid w:val="00B940DB"/>
    <w:rsid w:val="00B94589"/>
    <w:rsid w:val="00B95CFC"/>
    <w:rsid w:val="00B968A2"/>
    <w:rsid w:val="00B96D10"/>
    <w:rsid w:val="00B972DA"/>
    <w:rsid w:val="00B97364"/>
    <w:rsid w:val="00B97C51"/>
    <w:rsid w:val="00BA015E"/>
    <w:rsid w:val="00BA07E4"/>
    <w:rsid w:val="00BA1224"/>
    <w:rsid w:val="00BA1DD3"/>
    <w:rsid w:val="00BA2426"/>
    <w:rsid w:val="00BA36CD"/>
    <w:rsid w:val="00BA50E8"/>
    <w:rsid w:val="00BA55A1"/>
    <w:rsid w:val="00BA5DC9"/>
    <w:rsid w:val="00BA6A68"/>
    <w:rsid w:val="00BA6B5B"/>
    <w:rsid w:val="00BA6FB5"/>
    <w:rsid w:val="00BA709C"/>
    <w:rsid w:val="00BA713A"/>
    <w:rsid w:val="00BB022C"/>
    <w:rsid w:val="00BB12E4"/>
    <w:rsid w:val="00BB1D28"/>
    <w:rsid w:val="00BB1D99"/>
    <w:rsid w:val="00BB3A49"/>
    <w:rsid w:val="00BB3E85"/>
    <w:rsid w:val="00BB4113"/>
    <w:rsid w:val="00BB55A2"/>
    <w:rsid w:val="00BB7895"/>
    <w:rsid w:val="00BC10A8"/>
    <w:rsid w:val="00BC1634"/>
    <w:rsid w:val="00BC2354"/>
    <w:rsid w:val="00BC4147"/>
    <w:rsid w:val="00BC45E2"/>
    <w:rsid w:val="00BC4D38"/>
    <w:rsid w:val="00BC4F83"/>
    <w:rsid w:val="00BC5E4F"/>
    <w:rsid w:val="00BC6E85"/>
    <w:rsid w:val="00BC72F2"/>
    <w:rsid w:val="00BC7486"/>
    <w:rsid w:val="00BC7C54"/>
    <w:rsid w:val="00BD0192"/>
    <w:rsid w:val="00BD0515"/>
    <w:rsid w:val="00BD63AC"/>
    <w:rsid w:val="00BD6D5D"/>
    <w:rsid w:val="00BD75A1"/>
    <w:rsid w:val="00BD7611"/>
    <w:rsid w:val="00BE0E79"/>
    <w:rsid w:val="00BE134A"/>
    <w:rsid w:val="00BE155B"/>
    <w:rsid w:val="00BE2AFE"/>
    <w:rsid w:val="00BE3F9D"/>
    <w:rsid w:val="00BE427E"/>
    <w:rsid w:val="00BE4956"/>
    <w:rsid w:val="00BE534A"/>
    <w:rsid w:val="00BE5589"/>
    <w:rsid w:val="00BE56E0"/>
    <w:rsid w:val="00BE5DB5"/>
    <w:rsid w:val="00BE6FCD"/>
    <w:rsid w:val="00BF027D"/>
    <w:rsid w:val="00BF0759"/>
    <w:rsid w:val="00BF121C"/>
    <w:rsid w:val="00BF1475"/>
    <w:rsid w:val="00BF2AC3"/>
    <w:rsid w:val="00BF2BD9"/>
    <w:rsid w:val="00BF2DB8"/>
    <w:rsid w:val="00BF3330"/>
    <w:rsid w:val="00BF3905"/>
    <w:rsid w:val="00BF3D85"/>
    <w:rsid w:val="00BF3D8D"/>
    <w:rsid w:val="00BF51CE"/>
    <w:rsid w:val="00BF5209"/>
    <w:rsid w:val="00BF6336"/>
    <w:rsid w:val="00BF6350"/>
    <w:rsid w:val="00C00011"/>
    <w:rsid w:val="00C000BE"/>
    <w:rsid w:val="00C020F0"/>
    <w:rsid w:val="00C02219"/>
    <w:rsid w:val="00C03442"/>
    <w:rsid w:val="00C03D81"/>
    <w:rsid w:val="00C04769"/>
    <w:rsid w:val="00C053F5"/>
    <w:rsid w:val="00C05D02"/>
    <w:rsid w:val="00C07509"/>
    <w:rsid w:val="00C07EB2"/>
    <w:rsid w:val="00C1022B"/>
    <w:rsid w:val="00C1119D"/>
    <w:rsid w:val="00C121D9"/>
    <w:rsid w:val="00C1228C"/>
    <w:rsid w:val="00C12D11"/>
    <w:rsid w:val="00C13621"/>
    <w:rsid w:val="00C14397"/>
    <w:rsid w:val="00C15FB6"/>
    <w:rsid w:val="00C215AA"/>
    <w:rsid w:val="00C21726"/>
    <w:rsid w:val="00C22230"/>
    <w:rsid w:val="00C22F22"/>
    <w:rsid w:val="00C232A7"/>
    <w:rsid w:val="00C244D4"/>
    <w:rsid w:val="00C259B3"/>
    <w:rsid w:val="00C25F2A"/>
    <w:rsid w:val="00C26AD1"/>
    <w:rsid w:val="00C27182"/>
    <w:rsid w:val="00C27621"/>
    <w:rsid w:val="00C30503"/>
    <w:rsid w:val="00C3058C"/>
    <w:rsid w:val="00C30A82"/>
    <w:rsid w:val="00C315FC"/>
    <w:rsid w:val="00C32E10"/>
    <w:rsid w:val="00C33D25"/>
    <w:rsid w:val="00C33F14"/>
    <w:rsid w:val="00C3521B"/>
    <w:rsid w:val="00C35294"/>
    <w:rsid w:val="00C35504"/>
    <w:rsid w:val="00C35A8D"/>
    <w:rsid w:val="00C35F42"/>
    <w:rsid w:val="00C36926"/>
    <w:rsid w:val="00C4011D"/>
    <w:rsid w:val="00C401A7"/>
    <w:rsid w:val="00C419D2"/>
    <w:rsid w:val="00C42331"/>
    <w:rsid w:val="00C4250F"/>
    <w:rsid w:val="00C427E5"/>
    <w:rsid w:val="00C42BA7"/>
    <w:rsid w:val="00C42E4C"/>
    <w:rsid w:val="00C42FFE"/>
    <w:rsid w:val="00C4492A"/>
    <w:rsid w:val="00C44B30"/>
    <w:rsid w:val="00C46743"/>
    <w:rsid w:val="00C46F8E"/>
    <w:rsid w:val="00C47C8A"/>
    <w:rsid w:val="00C50A56"/>
    <w:rsid w:val="00C50AF5"/>
    <w:rsid w:val="00C51552"/>
    <w:rsid w:val="00C51DE6"/>
    <w:rsid w:val="00C51E0B"/>
    <w:rsid w:val="00C52222"/>
    <w:rsid w:val="00C53FC1"/>
    <w:rsid w:val="00C5469A"/>
    <w:rsid w:val="00C54B62"/>
    <w:rsid w:val="00C54EF2"/>
    <w:rsid w:val="00C55D25"/>
    <w:rsid w:val="00C5755D"/>
    <w:rsid w:val="00C61CC9"/>
    <w:rsid w:val="00C64DB5"/>
    <w:rsid w:val="00C66D2D"/>
    <w:rsid w:val="00C67C90"/>
    <w:rsid w:val="00C7027A"/>
    <w:rsid w:val="00C71738"/>
    <w:rsid w:val="00C7233E"/>
    <w:rsid w:val="00C72EBB"/>
    <w:rsid w:val="00C746ED"/>
    <w:rsid w:val="00C74784"/>
    <w:rsid w:val="00C74B41"/>
    <w:rsid w:val="00C74BDE"/>
    <w:rsid w:val="00C7545B"/>
    <w:rsid w:val="00C75A18"/>
    <w:rsid w:val="00C7621D"/>
    <w:rsid w:val="00C76637"/>
    <w:rsid w:val="00C76C18"/>
    <w:rsid w:val="00C76ECA"/>
    <w:rsid w:val="00C77A60"/>
    <w:rsid w:val="00C80628"/>
    <w:rsid w:val="00C81529"/>
    <w:rsid w:val="00C822AB"/>
    <w:rsid w:val="00C829F8"/>
    <w:rsid w:val="00C8365B"/>
    <w:rsid w:val="00C83980"/>
    <w:rsid w:val="00C84037"/>
    <w:rsid w:val="00C84D72"/>
    <w:rsid w:val="00C85F48"/>
    <w:rsid w:val="00C86C78"/>
    <w:rsid w:val="00C86CAB"/>
    <w:rsid w:val="00C877A6"/>
    <w:rsid w:val="00C87B21"/>
    <w:rsid w:val="00C90D84"/>
    <w:rsid w:val="00C91515"/>
    <w:rsid w:val="00C9164B"/>
    <w:rsid w:val="00C91DC4"/>
    <w:rsid w:val="00C934B0"/>
    <w:rsid w:val="00C94477"/>
    <w:rsid w:val="00C944BE"/>
    <w:rsid w:val="00C94BF3"/>
    <w:rsid w:val="00C94C4C"/>
    <w:rsid w:val="00C95EA0"/>
    <w:rsid w:val="00C9617C"/>
    <w:rsid w:val="00C961B7"/>
    <w:rsid w:val="00C9684E"/>
    <w:rsid w:val="00CA0537"/>
    <w:rsid w:val="00CA0636"/>
    <w:rsid w:val="00CA0B00"/>
    <w:rsid w:val="00CA1D32"/>
    <w:rsid w:val="00CA24F4"/>
    <w:rsid w:val="00CA265E"/>
    <w:rsid w:val="00CA3718"/>
    <w:rsid w:val="00CA42E1"/>
    <w:rsid w:val="00CA5119"/>
    <w:rsid w:val="00CA6717"/>
    <w:rsid w:val="00CA7327"/>
    <w:rsid w:val="00CB0376"/>
    <w:rsid w:val="00CB160F"/>
    <w:rsid w:val="00CB1EB4"/>
    <w:rsid w:val="00CB229A"/>
    <w:rsid w:val="00CB6000"/>
    <w:rsid w:val="00CB6040"/>
    <w:rsid w:val="00CB6985"/>
    <w:rsid w:val="00CC0021"/>
    <w:rsid w:val="00CC05A0"/>
    <w:rsid w:val="00CC05A2"/>
    <w:rsid w:val="00CC080F"/>
    <w:rsid w:val="00CC08E6"/>
    <w:rsid w:val="00CC0CC1"/>
    <w:rsid w:val="00CC1A58"/>
    <w:rsid w:val="00CC25D1"/>
    <w:rsid w:val="00CC3160"/>
    <w:rsid w:val="00CC32A5"/>
    <w:rsid w:val="00CC4928"/>
    <w:rsid w:val="00CC4E46"/>
    <w:rsid w:val="00CC5A87"/>
    <w:rsid w:val="00CC5F7D"/>
    <w:rsid w:val="00CC7C62"/>
    <w:rsid w:val="00CC7D65"/>
    <w:rsid w:val="00CD0217"/>
    <w:rsid w:val="00CD0FD4"/>
    <w:rsid w:val="00CD1385"/>
    <w:rsid w:val="00CD1762"/>
    <w:rsid w:val="00CD1776"/>
    <w:rsid w:val="00CD2D33"/>
    <w:rsid w:val="00CD2D71"/>
    <w:rsid w:val="00CD5115"/>
    <w:rsid w:val="00CD5BBD"/>
    <w:rsid w:val="00CD5F3D"/>
    <w:rsid w:val="00CD6B7E"/>
    <w:rsid w:val="00CD6C64"/>
    <w:rsid w:val="00CD6CB9"/>
    <w:rsid w:val="00CD6CCB"/>
    <w:rsid w:val="00CD72E9"/>
    <w:rsid w:val="00CD7E36"/>
    <w:rsid w:val="00CD7FC0"/>
    <w:rsid w:val="00CE0920"/>
    <w:rsid w:val="00CE1D31"/>
    <w:rsid w:val="00CE2BE2"/>
    <w:rsid w:val="00CE2EB7"/>
    <w:rsid w:val="00CE3F3A"/>
    <w:rsid w:val="00CE410F"/>
    <w:rsid w:val="00CE49D8"/>
    <w:rsid w:val="00CE500B"/>
    <w:rsid w:val="00CE5542"/>
    <w:rsid w:val="00CE575A"/>
    <w:rsid w:val="00CE624B"/>
    <w:rsid w:val="00CE6BC0"/>
    <w:rsid w:val="00CE709E"/>
    <w:rsid w:val="00CE79FA"/>
    <w:rsid w:val="00CF095C"/>
    <w:rsid w:val="00CF0AAD"/>
    <w:rsid w:val="00CF19BA"/>
    <w:rsid w:val="00CF22A4"/>
    <w:rsid w:val="00CF2378"/>
    <w:rsid w:val="00CF3447"/>
    <w:rsid w:val="00CF3667"/>
    <w:rsid w:val="00CF3E6E"/>
    <w:rsid w:val="00CF4122"/>
    <w:rsid w:val="00CF6446"/>
    <w:rsid w:val="00CF6F9A"/>
    <w:rsid w:val="00CF75D1"/>
    <w:rsid w:val="00CF79A1"/>
    <w:rsid w:val="00D011FC"/>
    <w:rsid w:val="00D024DA"/>
    <w:rsid w:val="00D02B4F"/>
    <w:rsid w:val="00D02C2F"/>
    <w:rsid w:val="00D02C8C"/>
    <w:rsid w:val="00D02CC2"/>
    <w:rsid w:val="00D04A7E"/>
    <w:rsid w:val="00D04A96"/>
    <w:rsid w:val="00D0529A"/>
    <w:rsid w:val="00D078CF"/>
    <w:rsid w:val="00D10284"/>
    <w:rsid w:val="00D10D54"/>
    <w:rsid w:val="00D13AC3"/>
    <w:rsid w:val="00D14076"/>
    <w:rsid w:val="00D141CA"/>
    <w:rsid w:val="00D15F49"/>
    <w:rsid w:val="00D16039"/>
    <w:rsid w:val="00D16234"/>
    <w:rsid w:val="00D16368"/>
    <w:rsid w:val="00D17AD0"/>
    <w:rsid w:val="00D200D0"/>
    <w:rsid w:val="00D20228"/>
    <w:rsid w:val="00D2022E"/>
    <w:rsid w:val="00D2223A"/>
    <w:rsid w:val="00D231BB"/>
    <w:rsid w:val="00D2664B"/>
    <w:rsid w:val="00D27484"/>
    <w:rsid w:val="00D27CD8"/>
    <w:rsid w:val="00D30113"/>
    <w:rsid w:val="00D30675"/>
    <w:rsid w:val="00D30788"/>
    <w:rsid w:val="00D31862"/>
    <w:rsid w:val="00D31C0F"/>
    <w:rsid w:val="00D3202B"/>
    <w:rsid w:val="00D32131"/>
    <w:rsid w:val="00D3306E"/>
    <w:rsid w:val="00D331CA"/>
    <w:rsid w:val="00D332ED"/>
    <w:rsid w:val="00D339FC"/>
    <w:rsid w:val="00D342A9"/>
    <w:rsid w:val="00D35844"/>
    <w:rsid w:val="00D36665"/>
    <w:rsid w:val="00D3723A"/>
    <w:rsid w:val="00D37717"/>
    <w:rsid w:val="00D377F7"/>
    <w:rsid w:val="00D37B4D"/>
    <w:rsid w:val="00D40CF3"/>
    <w:rsid w:val="00D41349"/>
    <w:rsid w:val="00D41CCC"/>
    <w:rsid w:val="00D421E3"/>
    <w:rsid w:val="00D422DF"/>
    <w:rsid w:val="00D42CEA"/>
    <w:rsid w:val="00D42E43"/>
    <w:rsid w:val="00D43AD1"/>
    <w:rsid w:val="00D4423A"/>
    <w:rsid w:val="00D46518"/>
    <w:rsid w:val="00D4660C"/>
    <w:rsid w:val="00D4663D"/>
    <w:rsid w:val="00D472C3"/>
    <w:rsid w:val="00D47DB9"/>
    <w:rsid w:val="00D50652"/>
    <w:rsid w:val="00D50A1B"/>
    <w:rsid w:val="00D5160C"/>
    <w:rsid w:val="00D5195B"/>
    <w:rsid w:val="00D53315"/>
    <w:rsid w:val="00D54E95"/>
    <w:rsid w:val="00D54F1C"/>
    <w:rsid w:val="00D552FC"/>
    <w:rsid w:val="00D55E86"/>
    <w:rsid w:val="00D561EF"/>
    <w:rsid w:val="00D565E8"/>
    <w:rsid w:val="00D5738D"/>
    <w:rsid w:val="00D57C95"/>
    <w:rsid w:val="00D57EFA"/>
    <w:rsid w:val="00D57F46"/>
    <w:rsid w:val="00D60120"/>
    <w:rsid w:val="00D60436"/>
    <w:rsid w:val="00D607D4"/>
    <w:rsid w:val="00D60C5F"/>
    <w:rsid w:val="00D61384"/>
    <w:rsid w:val="00D67377"/>
    <w:rsid w:val="00D71F95"/>
    <w:rsid w:val="00D73259"/>
    <w:rsid w:val="00D74F7D"/>
    <w:rsid w:val="00D75524"/>
    <w:rsid w:val="00D7571F"/>
    <w:rsid w:val="00D75A78"/>
    <w:rsid w:val="00D76205"/>
    <w:rsid w:val="00D80295"/>
    <w:rsid w:val="00D819C1"/>
    <w:rsid w:val="00D819D9"/>
    <w:rsid w:val="00D8217F"/>
    <w:rsid w:val="00D82BC4"/>
    <w:rsid w:val="00D83A4A"/>
    <w:rsid w:val="00D83EE6"/>
    <w:rsid w:val="00D853A1"/>
    <w:rsid w:val="00D86217"/>
    <w:rsid w:val="00D86702"/>
    <w:rsid w:val="00D8701A"/>
    <w:rsid w:val="00D87257"/>
    <w:rsid w:val="00D87884"/>
    <w:rsid w:val="00D87EE0"/>
    <w:rsid w:val="00D90F9D"/>
    <w:rsid w:val="00D91750"/>
    <w:rsid w:val="00D9214F"/>
    <w:rsid w:val="00D9279A"/>
    <w:rsid w:val="00D92915"/>
    <w:rsid w:val="00D93293"/>
    <w:rsid w:val="00D935A4"/>
    <w:rsid w:val="00D93682"/>
    <w:rsid w:val="00D94623"/>
    <w:rsid w:val="00D94662"/>
    <w:rsid w:val="00D952CD"/>
    <w:rsid w:val="00D95E46"/>
    <w:rsid w:val="00D970D7"/>
    <w:rsid w:val="00D97491"/>
    <w:rsid w:val="00D9782B"/>
    <w:rsid w:val="00DA0DFF"/>
    <w:rsid w:val="00DA1BA3"/>
    <w:rsid w:val="00DA213A"/>
    <w:rsid w:val="00DA213E"/>
    <w:rsid w:val="00DA2340"/>
    <w:rsid w:val="00DA2A20"/>
    <w:rsid w:val="00DA30BE"/>
    <w:rsid w:val="00DA3512"/>
    <w:rsid w:val="00DA414B"/>
    <w:rsid w:val="00DA4E23"/>
    <w:rsid w:val="00DA6172"/>
    <w:rsid w:val="00DA64E1"/>
    <w:rsid w:val="00DA67D9"/>
    <w:rsid w:val="00DA6D58"/>
    <w:rsid w:val="00DA718A"/>
    <w:rsid w:val="00DB0482"/>
    <w:rsid w:val="00DB39D0"/>
    <w:rsid w:val="00DB43A0"/>
    <w:rsid w:val="00DB75E6"/>
    <w:rsid w:val="00DC0D38"/>
    <w:rsid w:val="00DC100E"/>
    <w:rsid w:val="00DC14C2"/>
    <w:rsid w:val="00DC1BA2"/>
    <w:rsid w:val="00DC2028"/>
    <w:rsid w:val="00DC26C2"/>
    <w:rsid w:val="00DC2E45"/>
    <w:rsid w:val="00DC5365"/>
    <w:rsid w:val="00DC5683"/>
    <w:rsid w:val="00DC59CE"/>
    <w:rsid w:val="00DC6CBB"/>
    <w:rsid w:val="00DC6FC5"/>
    <w:rsid w:val="00DD020C"/>
    <w:rsid w:val="00DD0437"/>
    <w:rsid w:val="00DD1131"/>
    <w:rsid w:val="00DD11C1"/>
    <w:rsid w:val="00DD4D38"/>
    <w:rsid w:val="00DD551E"/>
    <w:rsid w:val="00DD636A"/>
    <w:rsid w:val="00DD6625"/>
    <w:rsid w:val="00DD6F1D"/>
    <w:rsid w:val="00DD7B0C"/>
    <w:rsid w:val="00DE02CE"/>
    <w:rsid w:val="00DE1D63"/>
    <w:rsid w:val="00DE2BFC"/>
    <w:rsid w:val="00DE2D32"/>
    <w:rsid w:val="00DE2E2F"/>
    <w:rsid w:val="00DE31C0"/>
    <w:rsid w:val="00DE34BE"/>
    <w:rsid w:val="00DE3AA5"/>
    <w:rsid w:val="00DE3EF0"/>
    <w:rsid w:val="00DE3EF5"/>
    <w:rsid w:val="00DE477B"/>
    <w:rsid w:val="00DE5103"/>
    <w:rsid w:val="00DE55F7"/>
    <w:rsid w:val="00DE62F9"/>
    <w:rsid w:val="00DE64CD"/>
    <w:rsid w:val="00DE6527"/>
    <w:rsid w:val="00DE7A95"/>
    <w:rsid w:val="00DE7EAA"/>
    <w:rsid w:val="00DF079D"/>
    <w:rsid w:val="00DF0BD9"/>
    <w:rsid w:val="00DF116B"/>
    <w:rsid w:val="00DF1AA5"/>
    <w:rsid w:val="00DF2C6D"/>
    <w:rsid w:val="00DF2CA1"/>
    <w:rsid w:val="00DF2EFF"/>
    <w:rsid w:val="00DF3BE1"/>
    <w:rsid w:val="00DF434F"/>
    <w:rsid w:val="00DF43EE"/>
    <w:rsid w:val="00DF5298"/>
    <w:rsid w:val="00DF5A94"/>
    <w:rsid w:val="00DF6C61"/>
    <w:rsid w:val="00DF7AEE"/>
    <w:rsid w:val="00E00F20"/>
    <w:rsid w:val="00E0137A"/>
    <w:rsid w:val="00E0182B"/>
    <w:rsid w:val="00E0246D"/>
    <w:rsid w:val="00E02A30"/>
    <w:rsid w:val="00E02E00"/>
    <w:rsid w:val="00E031A5"/>
    <w:rsid w:val="00E03416"/>
    <w:rsid w:val="00E036B4"/>
    <w:rsid w:val="00E03A53"/>
    <w:rsid w:val="00E04364"/>
    <w:rsid w:val="00E07988"/>
    <w:rsid w:val="00E07FE0"/>
    <w:rsid w:val="00E10318"/>
    <w:rsid w:val="00E103F7"/>
    <w:rsid w:val="00E10415"/>
    <w:rsid w:val="00E11F2F"/>
    <w:rsid w:val="00E11F4A"/>
    <w:rsid w:val="00E13CDF"/>
    <w:rsid w:val="00E14473"/>
    <w:rsid w:val="00E14BC5"/>
    <w:rsid w:val="00E14D77"/>
    <w:rsid w:val="00E15D4F"/>
    <w:rsid w:val="00E17140"/>
    <w:rsid w:val="00E17D4F"/>
    <w:rsid w:val="00E17E8B"/>
    <w:rsid w:val="00E20215"/>
    <w:rsid w:val="00E20ADB"/>
    <w:rsid w:val="00E20E7F"/>
    <w:rsid w:val="00E21C75"/>
    <w:rsid w:val="00E220B9"/>
    <w:rsid w:val="00E2341B"/>
    <w:rsid w:val="00E240E5"/>
    <w:rsid w:val="00E245A9"/>
    <w:rsid w:val="00E24D00"/>
    <w:rsid w:val="00E25DDA"/>
    <w:rsid w:val="00E2637E"/>
    <w:rsid w:val="00E2655E"/>
    <w:rsid w:val="00E3073C"/>
    <w:rsid w:val="00E30A1B"/>
    <w:rsid w:val="00E30E16"/>
    <w:rsid w:val="00E31464"/>
    <w:rsid w:val="00E31568"/>
    <w:rsid w:val="00E31781"/>
    <w:rsid w:val="00E31C00"/>
    <w:rsid w:val="00E32C28"/>
    <w:rsid w:val="00E34022"/>
    <w:rsid w:val="00E359CB"/>
    <w:rsid w:val="00E37E2D"/>
    <w:rsid w:val="00E40267"/>
    <w:rsid w:val="00E40509"/>
    <w:rsid w:val="00E40BDD"/>
    <w:rsid w:val="00E40E6E"/>
    <w:rsid w:val="00E41081"/>
    <w:rsid w:val="00E417A7"/>
    <w:rsid w:val="00E41D0B"/>
    <w:rsid w:val="00E41FAE"/>
    <w:rsid w:val="00E4227D"/>
    <w:rsid w:val="00E42F76"/>
    <w:rsid w:val="00E43631"/>
    <w:rsid w:val="00E44556"/>
    <w:rsid w:val="00E447BD"/>
    <w:rsid w:val="00E4490C"/>
    <w:rsid w:val="00E44D4A"/>
    <w:rsid w:val="00E45149"/>
    <w:rsid w:val="00E451EF"/>
    <w:rsid w:val="00E453D1"/>
    <w:rsid w:val="00E45536"/>
    <w:rsid w:val="00E45FC9"/>
    <w:rsid w:val="00E46322"/>
    <w:rsid w:val="00E469B1"/>
    <w:rsid w:val="00E46BDD"/>
    <w:rsid w:val="00E5001C"/>
    <w:rsid w:val="00E5033E"/>
    <w:rsid w:val="00E50FD5"/>
    <w:rsid w:val="00E52261"/>
    <w:rsid w:val="00E52772"/>
    <w:rsid w:val="00E52F9B"/>
    <w:rsid w:val="00E539D7"/>
    <w:rsid w:val="00E53FC8"/>
    <w:rsid w:val="00E543EA"/>
    <w:rsid w:val="00E544DC"/>
    <w:rsid w:val="00E5531B"/>
    <w:rsid w:val="00E55856"/>
    <w:rsid w:val="00E558D2"/>
    <w:rsid w:val="00E56985"/>
    <w:rsid w:val="00E56A24"/>
    <w:rsid w:val="00E56A8D"/>
    <w:rsid w:val="00E56CE9"/>
    <w:rsid w:val="00E5702B"/>
    <w:rsid w:val="00E6028C"/>
    <w:rsid w:val="00E60AEA"/>
    <w:rsid w:val="00E61326"/>
    <w:rsid w:val="00E61C96"/>
    <w:rsid w:val="00E64468"/>
    <w:rsid w:val="00E64EA3"/>
    <w:rsid w:val="00E6550C"/>
    <w:rsid w:val="00E66A18"/>
    <w:rsid w:val="00E6715D"/>
    <w:rsid w:val="00E71116"/>
    <w:rsid w:val="00E71B94"/>
    <w:rsid w:val="00E71F62"/>
    <w:rsid w:val="00E71FEC"/>
    <w:rsid w:val="00E724A2"/>
    <w:rsid w:val="00E72601"/>
    <w:rsid w:val="00E72F6F"/>
    <w:rsid w:val="00E73896"/>
    <w:rsid w:val="00E74ED4"/>
    <w:rsid w:val="00E758E8"/>
    <w:rsid w:val="00E76648"/>
    <w:rsid w:val="00E76F92"/>
    <w:rsid w:val="00E77C47"/>
    <w:rsid w:val="00E816C0"/>
    <w:rsid w:val="00E82297"/>
    <w:rsid w:val="00E83C5D"/>
    <w:rsid w:val="00E849B4"/>
    <w:rsid w:val="00E85266"/>
    <w:rsid w:val="00E8527F"/>
    <w:rsid w:val="00E87F30"/>
    <w:rsid w:val="00E90363"/>
    <w:rsid w:val="00E92455"/>
    <w:rsid w:val="00E928E8"/>
    <w:rsid w:val="00E933AC"/>
    <w:rsid w:val="00E95505"/>
    <w:rsid w:val="00E955CC"/>
    <w:rsid w:val="00E965D3"/>
    <w:rsid w:val="00E968E8"/>
    <w:rsid w:val="00E96DAC"/>
    <w:rsid w:val="00E9710F"/>
    <w:rsid w:val="00E973EA"/>
    <w:rsid w:val="00E97A3E"/>
    <w:rsid w:val="00E97FEC"/>
    <w:rsid w:val="00EA06A2"/>
    <w:rsid w:val="00EA0A25"/>
    <w:rsid w:val="00EA1C46"/>
    <w:rsid w:val="00EA2B2B"/>
    <w:rsid w:val="00EA2B78"/>
    <w:rsid w:val="00EA3576"/>
    <w:rsid w:val="00EA39F8"/>
    <w:rsid w:val="00EA50A5"/>
    <w:rsid w:val="00EA5633"/>
    <w:rsid w:val="00EA5A20"/>
    <w:rsid w:val="00EA5AA6"/>
    <w:rsid w:val="00EA6E67"/>
    <w:rsid w:val="00EA7AE7"/>
    <w:rsid w:val="00EB0631"/>
    <w:rsid w:val="00EB23BC"/>
    <w:rsid w:val="00EB25B7"/>
    <w:rsid w:val="00EB5647"/>
    <w:rsid w:val="00EB6165"/>
    <w:rsid w:val="00EB61B4"/>
    <w:rsid w:val="00EB637C"/>
    <w:rsid w:val="00EB6A16"/>
    <w:rsid w:val="00EB6C47"/>
    <w:rsid w:val="00EB7342"/>
    <w:rsid w:val="00EB7A80"/>
    <w:rsid w:val="00EC0608"/>
    <w:rsid w:val="00EC0E76"/>
    <w:rsid w:val="00EC1046"/>
    <w:rsid w:val="00EC247E"/>
    <w:rsid w:val="00EC2B2F"/>
    <w:rsid w:val="00EC2B30"/>
    <w:rsid w:val="00EC2FCD"/>
    <w:rsid w:val="00EC353C"/>
    <w:rsid w:val="00EC4DA0"/>
    <w:rsid w:val="00EC5012"/>
    <w:rsid w:val="00EC60BA"/>
    <w:rsid w:val="00EC62DD"/>
    <w:rsid w:val="00EC680A"/>
    <w:rsid w:val="00EC6CFC"/>
    <w:rsid w:val="00EC7B57"/>
    <w:rsid w:val="00ED1C13"/>
    <w:rsid w:val="00ED215A"/>
    <w:rsid w:val="00ED29BE"/>
    <w:rsid w:val="00ED5C2D"/>
    <w:rsid w:val="00ED5E67"/>
    <w:rsid w:val="00ED5F31"/>
    <w:rsid w:val="00ED792A"/>
    <w:rsid w:val="00ED7CB1"/>
    <w:rsid w:val="00EE00F4"/>
    <w:rsid w:val="00EE12F6"/>
    <w:rsid w:val="00EE13F5"/>
    <w:rsid w:val="00EE1DD0"/>
    <w:rsid w:val="00EE2105"/>
    <w:rsid w:val="00EE2559"/>
    <w:rsid w:val="00EE2762"/>
    <w:rsid w:val="00EE2B3E"/>
    <w:rsid w:val="00EE3368"/>
    <w:rsid w:val="00EE42AA"/>
    <w:rsid w:val="00EE5597"/>
    <w:rsid w:val="00EF041B"/>
    <w:rsid w:val="00EF08F6"/>
    <w:rsid w:val="00EF0EB1"/>
    <w:rsid w:val="00EF110C"/>
    <w:rsid w:val="00EF2764"/>
    <w:rsid w:val="00EF2B24"/>
    <w:rsid w:val="00EF2E29"/>
    <w:rsid w:val="00EF3C73"/>
    <w:rsid w:val="00EF3D0F"/>
    <w:rsid w:val="00EF3DF2"/>
    <w:rsid w:val="00EF6859"/>
    <w:rsid w:val="00EF6863"/>
    <w:rsid w:val="00EF6AF4"/>
    <w:rsid w:val="00EF6D0F"/>
    <w:rsid w:val="00EF7168"/>
    <w:rsid w:val="00EF73F9"/>
    <w:rsid w:val="00EF7DA8"/>
    <w:rsid w:val="00F00B38"/>
    <w:rsid w:val="00F02320"/>
    <w:rsid w:val="00F02A1A"/>
    <w:rsid w:val="00F0395B"/>
    <w:rsid w:val="00F03C13"/>
    <w:rsid w:val="00F03FFD"/>
    <w:rsid w:val="00F04202"/>
    <w:rsid w:val="00F04313"/>
    <w:rsid w:val="00F062D2"/>
    <w:rsid w:val="00F06A5D"/>
    <w:rsid w:val="00F10B91"/>
    <w:rsid w:val="00F112ED"/>
    <w:rsid w:val="00F11337"/>
    <w:rsid w:val="00F11EBC"/>
    <w:rsid w:val="00F13A19"/>
    <w:rsid w:val="00F14B71"/>
    <w:rsid w:val="00F14BA7"/>
    <w:rsid w:val="00F150C0"/>
    <w:rsid w:val="00F151B6"/>
    <w:rsid w:val="00F16CD6"/>
    <w:rsid w:val="00F16D88"/>
    <w:rsid w:val="00F175E9"/>
    <w:rsid w:val="00F179AA"/>
    <w:rsid w:val="00F2022D"/>
    <w:rsid w:val="00F203C3"/>
    <w:rsid w:val="00F215FD"/>
    <w:rsid w:val="00F21849"/>
    <w:rsid w:val="00F234E8"/>
    <w:rsid w:val="00F2363B"/>
    <w:rsid w:val="00F25346"/>
    <w:rsid w:val="00F25E86"/>
    <w:rsid w:val="00F260D3"/>
    <w:rsid w:val="00F2707E"/>
    <w:rsid w:val="00F31505"/>
    <w:rsid w:val="00F31B24"/>
    <w:rsid w:val="00F31B87"/>
    <w:rsid w:val="00F3217B"/>
    <w:rsid w:val="00F32256"/>
    <w:rsid w:val="00F33319"/>
    <w:rsid w:val="00F3387D"/>
    <w:rsid w:val="00F35B3B"/>
    <w:rsid w:val="00F35C5B"/>
    <w:rsid w:val="00F3708D"/>
    <w:rsid w:val="00F376A2"/>
    <w:rsid w:val="00F377A7"/>
    <w:rsid w:val="00F40952"/>
    <w:rsid w:val="00F41723"/>
    <w:rsid w:val="00F43BC6"/>
    <w:rsid w:val="00F44EA1"/>
    <w:rsid w:val="00F44F74"/>
    <w:rsid w:val="00F451DA"/>
    <w:rsid w:val="00F4665F"/>
    <w:rsid w:val="00F46955"/>
    <w:rsid w:val="00F47FBD"/>
    <w:rsid w:val="00F50E41"/>
    <w:rsid w:val="00F51485"/>
    <w:rsid w:val="00F51D5C"/>
    <w:rsid w:val="00F52A33"/>
    <w:rsid w:val="00F532E0"/>
    <w:rsid w:val="00F53927"/>
    <w:rsid w:val="00F53C33"/>
    <w:rsid w:val="00F5433B"/>
    <w:rsid w:val="00F549E9"/>
    <w:rsid w:val="00F55834"/>
    <w:rsid w:val="00F558DD"/>
    <w:rsid w:val="00F56370"/>
    <w:rsid w:val="00F56895"/>
    <w:rsid w:val="00F57070"/>
    <w:rsid w:val="00F572E5"/>
    <w:rsid w:val="00F57BC8"/>
    <w:rsid w:val="00F57F3B"/>
    <w:rsid w:val="00F6284C"/>
    <w:rsid w:val="00F63649"/>
    <w:rsid w:val="00F64F45"/>
    <w:rsid w:val="00F663A7"/>
    <w:rsid w:val="00F67121"/>
    <w:rsid w:val="00F6756E"/>
    <w:rsid w:val="00F676EE"/>
    <w:rsid w:val="00F67DF0"/>
    <w:rsid w:val="00F70564"/>
    <w:rsid w:val="00F705B1"/>
    <w:rsid w:val="00F70625"/>
    <w:rsid w:val="00F730D5"/>
    <w:rsid w:val="00F73D5E"/>
    <w:rsid w:val="00F74CC5"/>
    <w:rsid w:val="00F75D0C"/>
    <w:rsid w:val="00F75F3F"/>
    <w:rsid w:val="00F76089"/>
    <w:rsid w:val="00F766DA"/>
    <w:rsid w:val="00F76D33"/>
    <w:rsid w:val="00F8044D"/>
    <w:rsid w:val="00F80510"/>
    <w:rsid w:val="00F8083B"/>
    <w:rsid w:val="00F80F82"/>
    <w:rsid w:val="00F81959"/>
    <w:rsid w:val="00F81A9B"/>
    <w:rsid w:val="00F82DC6"/>
    <w:rsid w:val="00F83648"/>
    <w:rsid w:val="00F83B91"/>
    <w:rsid w:val="00F84169"/>
    <w:rsid w:val="00F84867"/>
    <w:rsid w:val="00F850C8"/>
    <w:rsid w:val="00F8660A"/>
    <w:rsid w:val="00F876F3"/>
    <w:rsid w:val="00F87EAE"/>
    <w:rsid w:val="00F92C43"/>
    <w:rsid w:val="00F936A9"/>
    <w:rsid w:val="00F93C26"/>
    <w:rsid w:val="00F9598E"/>
    <w:rsid w:val="00F95FF3"/>
    <w:rsid w:val="00F96109"/>
    <w:rsid w:val="00F96156"/>
    <w:rsid w:val="00F9628E"/>
    <w:rsid w:val="00F963BC"/>
    <w:rsid w:val="00F9695D"/>
    <w:rsid w:val="00F97BFE"/>
    <w:rsid w:val="00FA00FF"/>
    <w:rsid w:val="00FA1D9D"/>
    <w:rsid w:val="00FA20D0"/>
    <w:rsid w:val="00FA4802"/>
    <w:rsid w:val="00FA4ABB"/>
    <w:rsid w:val="00FA4D3B"/>
    <w:rsid w:val="00FA4E55"/>
    <w:rsid w:val="00FA5BF7"/>
    <w:rsid w:val="00FA6BD7"/>
    <w:rsid w:val="00FA6E51"/>
    <w:rsid w:val="00FA7000"/>
    <w:rsid w:val="00FA771F"/>
    <w:rsid w:val="00FB3644"/>
    <w:rsid w:val="00FB4EA5"/>
    <w:rsid w:val="00FB5220"/>
    <w:rsid w:val="00FB5E75"/>
    <w:rsid w:val="00FB6F8F"/>
    <w:rsid w:val="00FB702C"/>
    <w:rsid w:val="00FB72A1"/>
    <w:rsid w:val="00FB74A9"/>
    <w:rsid w:val="00FC0DC1"/>
    <w:rsid w:val="00FC143E"/>
    <w:rsid w:val="00FC2251"/>
    <w:rsid w:val="00FC33DD"/>
    <w:rsid w:val="00FC33EB"/>
    <w:rsid w:val="00FC3BCA"/>
    <w:rsid w:val="00FC41B0"/>
    <w:rsid w:val="00FC4B09"/>
    <w:rsid w:val="00FC51CC"/>
    <w:rsid w:val="00FD0AF8"/>
    <w:rsid w:val="00FD0F02"/>
    <w:rsid w:val="00FD1498"/>
    <w:rsid w:val="00FD1544"/>
    <w:rsid w:val="00FD1F24"/>
    <w:rsid w:val="00FD1F73"/>
    <w:rsid w:val="00FD30D2"/>
    <w:rsid w:val="00FD3498"/>
    <w:rsid w:val="00FD3B47"/>
    <w:rsid w:val="00FD3DB7"/>
    <w:rsid w:val="00FD4185"/>
    <w:rsid w:val="00FD491E"/>
    <w:rsid w:val="00FD53F4"/>
    <w:rsid w:val="00FD6F13"/>
    <w:rsid w:val="00FD7006"/>
    <w:rsid w:val="00FD7129"/>
    <w:rsid w:val="00FD7E26"/>
    <w:rsid w:val="00FE086E"/>
    <w:rsid w:val="00FE0FF8"/>
    <w:rsid w:val="00FE1991"/>
    <w:rsid w:val="00FE1B62"/>
    <w:rsid w:val="00FE29C2"/>
    <w:rsid w:val="00FE32C4"/>
    <w:rsid w:val="00FE378C"/>
    <w:rsid w:val="00FE4CFF"/>
    <w:rsid w:val="00FE528A"/>
    <w:rsid w:val="00FE61ED"/>
    <w:rsid w:val="00FE6F03"/>
    <w:rsid w:val="00FF0471"/>
    <w:rsid w:val="00FF0730"/>
    <w:rsid w:val="00FF083A"/>
    <w:rsid w:val="00FF28DC"/>
    <w:rsid w:val="00FF29B9"/>
    <w:rsid w:val="00FF32A2"/>
    <w:rsid w:val="00FF38B0"/>
    <w:rsid w:val="00FF487C"/>
    <w:rsid w:val="00FF4C3D"/>
    <w:rsid w:val="00FF4E22"/>
    <w:rsid w:val="00FF646E"/>
    <w:rsid w:val="00FF75DE"/>
    <w:rsid w:val="00FF7B4B"/>
    <w:rsid w:val="04E1E2DD"/>
    <w:rsid w:val="0630384C"/>
    <w:rsid w:val="0DE96E89"/>
    <w:rsid w:val="10A00B12"/>
    <w:rsid w:val="12906576"/>
    <w:rsid w:val="1415A8C3"/>
    <w:rsid w:val="1D7370CD"/>
    <w:rsid w:val="1DA403B8"/>
    <w:rsid w:val="1DCFD24A"/>
    <w:rsid w:val="1EA413EC"/>
    <w:rsid w:val="210E6378"/>
    <w:rsid w:val="24B13B10"/>
    <w:rsid w:val="2DBADD9F"/>
    <w:rsid w:val="36ADB4D5"/>
    <w:rsid w:val="39D88F83"/>
    <w:rsid w:val="4215AB44"/>
    <w:rsid w:val="4612183E"/>
    <w:rsid w:val="48A82426"/>
    <w:rsid w:val="4FA1988F"/>
    <w:rsid w:val="54E60204"/>
    <w:rsid w:val="552C83F1"/>
    <w:rsid w:val="5B65B511"/>
    <w:rsid w:val="61D68A2C"/>
    <w:rsid w:val="64F53562"/>
    <w:rsid w:val="66074AB6"/>
    <w:rsid w:val="6A95C4EA"/>
    <w:rsid w:val="6FC29999"/>
    <w:rsid w:val="7149C1F3"/>
    <w:rsid w:val="73132FE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oNotEmbedSmartTags/>
  <w:decimalSymbol w:val="."/>
  <w:listSeparator w:val=","/>
  <w14:docId w14:val="3604DC81"/>
  <w15:docId w15:val="{9FDA01CC-2BBA-485C-A943-65A6C5D3B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972"/>
    <w:pPr>
      <w:spacing w:line="288" w:lineRule="auto"/>
      <w:jc w:val="both"/>
    </w:pPr>
    <w:rPr>
      <w:sz w:val="22"/>
      <w:szCs w:val="22"/>
      <w:lang w:val="en-US" w:eastAsia="en-US"/>
    </w:rPr>
  </w:style>
  <w:style w:type="paragraph" w:styleId="Heading1">
    <w:name w:val="heading 1"/>
    <w:basedOn w:val="Normal"/>
    <w:next w:val="Normal"/>
    <w:link w:val="Heading1Char"/>
    <w:qFormat/>
    <w:rsid w:val="002A3C5E"/>
    <w:pPr>
      <w:numPr>
        <w:numId w:val="145"/>
      </w:numPr>
      <w:outlineLvl w:val="0"/>
    </w:pPr>
    <w:rPr>
      <w:kern w:val="28"/>
      <w:lang w:val="en-GB"/>
    </w:rPr>
  </w:style>
  <w:style w:type="paragraph" w:styleId="Heading2">
    <w:name w:val="heading 2"/>
    <w:basedOn w:val="Normal"/>
    <w:next w:val="Normal"/>
    <w:qFormat/>
    <w:rsid w:val="003D1972"/>
    <w:pPr>
      <w:numPr>
        <w:ilvl w:val="1"/>
        <w:numId w:val="1"/>
      </w:numPr>
      <w:ind w:left="567" w:hanging="567"/>
      <w:outlineLvl w:val="1"/>
    </w:pPr>
  </w:style>
  <w:style w:type="paragraph" w:styleId="Heading3">
    <w:name w:val="heading 3"/>
    <w:basedOn w:val="Normal"/>
    <w:next w:val="Normal"/>
    <w:qFormat/>
    <w:rsid w:val="003D1972"/>
    <w:pPr>
      <w:numPr>
        <w:ilvl w:val="2"/>
        <w:numId w:val="1"/>
      </w:numPr>
      <w:ind w:left="567" w:hanging="567"/>
      <w:outlineLvl w:val="2"/>
    </w:pPr>
  </w:style>
  <w:style w:type="paragraph" w:styleId="Heading4">
    <w:name w:val="heading 4"/>
    <w:basedOn w:val="Normal"/>
    <w:next w:val="Normal"/>
    <w:qFormat/>
    <w:rsid w:val="003D1972"/>
    <w:pPr>
      <w:numPr>
        <w:ilvl w:val="3"/>
        <w:numId w:val="1"/>
      </w:numPr>
      <w:ind w:left="567" w:hanging="567"/>
      <w:outlineLvl w:val="3"/>
    </w:pPr>
  </w:style>
  <w:style w:type="paragraph" w:styleId="Heading5">
    <w:name w:val="heading 5"/>
    <w:basedOn w:val="Normal"/>
    <w:next w:val="Normal"/>
    <w:qFormat/>
    <w:rsid w:val="003D1972"/>
    <w:pPr>
      <w:numPr>
        <w:ilvl w:val="4"/>
        <w:numId w:val="1"/>
      </w:numPr>
      <w:ind w:left="567" w:hanging="567"/>
      <w:outlineLvl w:val="4"/>
    </w:pPr>
  </w:style>
  <w:style w:type="paragraph" w:styleId="Heading6">
    <w:name w:val="heading 6"/>
    <w:basedOn w:val="Normal"/>
    <w:next w:val="Normal"/>
    <w:qFormat/>
    <w:rsid w:val="003D1972"/>
    <w:pPr>
      <w:numPr>
        <w:ilvl w:val="5"/>
        <w:numId w:val="1"/>
      </w:numPr>
      <w:ind w:left="567" w:hanging="567"/>
      <w:outlineLvl w:val="5"/>
    </w:pPr>
  </w:style>
  <w:style w:type="paragraph" w:styleId="Heading7">
    <w:name w:val="heading 7"/>
    <w:basedOn w:val="Normal"/>
    <w:next w:val="Normal"/>
    <w:qFormat/>
    <w:rsid w:val="003D1972"/>
    <w:pPr>
      <w:numPr>
        <w:ilvl w:val="6"/>
        <w:numId w:val="1"/>
      </w:numPr>
      <w:ind w:left="567" w:hanging="567"/>
      <w:outlineLvl w:val="6"/>
    </w:pPr>
  </w:style>
  <w:style w:type="paragraph" w:styleId="Heading8">
    <w:name w:val="heading 8"/>
    <w:basedOn w:val="Normal"/>
    <w:next w:val="Normal"/>
    <w:qFormat/>
    <w:rsid w:val="003D1972"/>
    <w:pPr>
      <w:numPr>
        <w:ilvl w:val="7"/>
        <w:numId w:val="1"/>
      </w:numPr>
      <w:ind w:left="567" w:hanging="567"/>
      <w:outlineLvl w:val="7"/>
    </w:pPr>
  </w:style>
  <w:style w:type="paragraph" w:styleId="Heading9">
    <w:name w:val="heading 9"/>
    <w:basedOn w:val="Normal"/>
    <w:next w:val="Normal"/>
    <w:qFormat/>
    <w:rsid w:val="003D1972"/>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A3C5E"/>
    <w:rPr>
      <w:kern w:val="28"/>
      <w:sz w:val="22"/>
      <w:szCs w:val="22"/>
      <w:lang w:val="en-GB" w:eastAsia="en-US"/>
    </w:rPr>
  </w:style>
  <w:style w:type="paragraph" w:styleId="Footer">
    <w:name w:val="footer"/>
    <w:basedOn w:val="Normal"/>
    <w:link w:val="FooterChar"/>
    <w:qFormat/>
    <w:rsid w:val="003D1972"/>
  </w:style>
  <w:style w:type="paragraph" w:styleId="FootnoteText">
    <w:name w:val="footnote text"/>
    <w:aliases w:val="AF Fußnotentext,Fußnote,Footnote text,Reference,Footnote Text Char Char,Footnote Text Char Char Char Char,Footnote Text1,Footnote Text Char Char Char,Fu§notentext Char,Fu§notentext Char1 Char1,Fu§notentext Char Char Char Char,fn,Fußn"/>
    <w:basedOn w:val="Normal"/>
    <w:link w:val="FootnoteTextChar"/>
    <w:qFormat/>
    <w:rsid w:val="003D1972"/>
    <w:pPr>
      <w:keepLines/>
      <w:spacing w:after="60" w:line="240" w:lineRule="auto"/>
      <w:ind w:left="567" w:hanging="567"/>
    </w:pPr>
    <w:rPr>
      <w:sz w:val="16"/>
    </w:rPr>
  </w:style>
  <w:style w:type="character" w:customStyle="1" w:styleId="FootnoteTextChar">
    <w:name w:val="Footnote Text Char"/>
    <w:aliases w:val="AF Fußnotentext Char,Fußnote Char,Footnote text Char,Reference Char,Footnote Text Char Char Char1,Footnote Text Char Char Char Char Char,Footnote Text1 Char,Footnote Text Char Char Char Char1,Fu§notentext Char Char,fn Char,Fußn Char"/>
    <w:link w:val="FootnoteText"/>
    <w:rsid w:val="001E3380"/>
    <w:rPr>
      <w:sz w:val="16"/>
      <w:szCs w:val="22"/>
      <w:lang w:val="en-US" w:eastAsia="en-US"/>
    </w:rPr>
  </w:style>
  <w:style w:type="paragraph" w:styleId="Header">
    <w:name w:val="header"/>
    <w:basedOn w:val="Normal"/>
    <w:link w:val="HeaderChar"/>
    <w:qFormat/>
    <w:rsid w:val="003D1972"/>
  </w:style>
  <w:style w:type="character" w:styleId="Hyperlink">
    <w:name w:val="Hyperlink"/>
    <w:uiPriority w:val="99"/>
    <w:rPr>
      <w:color w:val="0000FF"/>
      <w:u w:val="single"/>
    </w:rPr>
  </w:style>
  <w:style w:type="character" w:styleId="FootnoteReference">
    <w:name w:val="footnote reference"/>
    <w:aliases w:val="Footnote symbol,Voetnootverwijzing,Times 10 Point,Exposant 3 Point,Footnote number,fr,o,Footnotemark,FR,Footnotemark1,Footnotemark2,FR1,Footnotemark3,FR2,Footnotemark4,FR3,Footnotemark5,FR4,Footnotemark6,Footnotemark7,Nota,BVI fnr"/>
    <w:basedOn w:val="DefaultParagraphFont"/>
    <w:unhideWhenUsed/>
    <w:qFormat/>
    <w:rsid w:val="003D1972"/>
    <w:rPr>
      <w:sz w:val="24"/>
      <w:vertAlign w:val="superscript"/>
    </w:rPr>
  </w:style>
  <w:style w:type="character" w:styleId="FollowedHyperlink">
    <w:name w:val="FollowedHyperlink"/>
    <w:rPr>
      <w:color w:val="800080"/>
      <w:u w:val="single"/>
    </w:rPr>
  </w:style>
  <w:style w:type="paragraph" w:customStyle="1" w:styleId="LOGO">
    <w:name w:val="LOGO"/>
    <w:basedOn w:val="Normal"/>
    <w:pPr>
      <w:jc w:val="center"/>
    </w:pPr>
    <w:rPr>
      <w:rFonts w:ascii="Arial" w:hAnsi="Arial"/>
      <w:b/>
      <w:i/>
      <w:sz w:val="20"/>
    </w:rPr>
  </w:style>
  <w:style w:type="paragraph" w:styleId="Revision">
    <w:name w:val="Revision"/>
    <w:hidden/>
    <w:uiPriority w:val="99"/>
    <w:semiHidden/>
    <w:rsid w:val="00845123"/>
    <w:pPr>
      <w:widowControl w:val="0"/>
      <w:adjustRightInd w:val="0"/>
      <w:spacing w:line="360" w:lineRule="atLeast"/>
      <w:jc w:val="both"/>
      <w:textAlignment w:val="baseline"/>
    </w:pPr>
    <w:rPr>
      <w:sz w:val="22"/>
      <w:lang w:val="en-GB" w:eastAsia="en-US"/>
    </w:rPr>
  </w:style>
  <w:style w:type="paragraph" w:styleId="EndnoteText">
    <w:name w:val="endnote text"/>
    <w:basedOn w:val="Normal"/>
    <w:link w:val="EndnoteTextChar"/>
    <w:rsid w:val="00E00F20"/>
    <w:rPr>
      <w:sz w:val="20"/>
    </w:rPr>
  </w:style>
  <w:style w:type="character" w:customStyle="1" w:styleId="EndnoteTextChar">
    <w:name w:val="Endnote Text Char"/>
    <w:link w:val="EndnoteText"/>
    <w:rsid w:val="00E00F20"/>
    <w:rPr>
      <w:lang w:val="en-GB" w:eastAsia="en-US"/>
    </w:rPr>
  </w:style>
  <w:style w:type="character" w:styleId="EndnoteReference">
    <w:name w:val="endnote reference"/>
    <w:rsid w:val="00E00F20"/>
    <w:rPr>
      <w:vertAlign w:val="superscript"/>
    </w:rPr>
  </w:style>
  <w:style w:type="character" w:customStyle="1" w:styleId="FooterChar">
    <w:name w:val="Footer Char"/>
    <w:basedOn w:val="DefaultParagraphFont"/>
    <w:link w:val="Footer"/>
    <w:rsid w:val="007204D5"/>
    <w:rPr>
      <w:sz w:val="22"/>
      <w:szCs w:val="22"/>
      <w:lang w:val="en-US" w:eastAsia="en-US"/>
    </w:rPr>
  </w:style>
  <w:style w:type="character" w:customStyle="1" w:styleId="HeaderChar">
    <w:name w:val="Header Char"/>
    <w:basedOn w:val="DefaultParagraphFont"/>
    <w:link w:val="Header"/>
    <w:rsid w:val="007204D5"/>
    <w:rPr>
      <w:sz w:val="22"/>
      <w:szCs w:val="22"/>
      <w:lang w:val="en-US" w:eastAsia="en-US"/>
    </w:rPr>
  </w:style>
  <w:style w:type="paragraph" w:customStyle="1" w:styleId="quotes">
    <w:name w:val="quotes"/>
    <w:basedOn w:val="Normal"/>
    <w:next w:val="Normal"/>
    <w:rsid w:val="003D1972"/>
    <w:pPr>
      <w:ind w:left="720"/>
    </w:pPr>
    <w:rPr>
      <w:i/>
    </w:rPr>
  </w:style>
  <w:style w:type="table" w:styleId="TableGrid">
    <w:name w:val="Table Grid"/>
    <w:basedOn w:val="TableNormal"/>
    <w:uiPriority w:val="59"/>
    <w:rsid w:val="00B917F8"/>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6648"/>
    <w:pPr>
      <w:widowControl w:val="0"/>
      <w:adjustRightInd w:val="0"/>
      <w:ind w:left="720"/>
      <w:contextualSpacing/>
      <w:textAlignment w:val="baseline"/>
    </w:pPr>
  </w:style>
  <w:style w:type="paragraph" w:styleId="BalloonText">
    <w:name w:val="Balloon Text"/>
    <w:basedOn w:val="Normal"/>
    <w:link w:val="BalloonTextChar"/>
    <w:semiHidden/>
    <w:unhideWhenUsed/>
    <w:rsid w:val="000F09F4"/>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F09F4"/>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5C216F"/>
    <w:rPr>
      <w:sz w:val="16"/>
      <w:szCs w:val="16"/>
    </w:rPr>
  </w:style>
  <w:style w:type="paragraph" w:styleId="CommentText">
    <w:name w:val="annotation text"/>
    <w:basedOn w:val="Normal"/>
    <w:link w:val="CommentTextChar"/>
    <w:semiHidden/>
    <w:unhideWhenUsed/>
    <w:rsid w:val="005C216F"/>
    <w:pPr>
      <w:spacing w:line="240" w:lineRule="auto"/>
    </w:pPr>
    <w:rPr>
      <w:sz w:val="20"/>
      <w:szCs w:val="20"/>
    </w:rPr>
  </w:style>
  <w:style w:type="character" w:customStyle="1" w:styleId="CommentTextChar">
    <w:name w:val="Comment Text Char"/>
    <w:basedOn w:val="DefaultParagraphFont"/>
    <w:link w:val="CommentText"/>
    <w:semiHidden/>
    <w:rsid w:val="005C216F"/>
    <w:rPr>
      <w:lang w:val="en-US" w:eastAsia="en-US"/>
    </w:rPr>
  </w:style>
  <w:style w:type="paragraph" w:styleId="CommentSubject">
    <w:name w:val="annotation subject"/>
    <w:basedOn w:val="CommentText"/>
    <w:next w:val="CommentText"/>
    <w:link w:val="CommentSubjectChar"/>
    <w:semiHidden/>
    <w:unhideWhenUsed/>
    <w:rsid w:val="005C216F"/>
    <w:rPr>
      <w:b/>
      <w:bCs/>
    </w:rPr>
  </w:style>
  <w:style w:type="character" w:customStyle="1" w:styleId="CommentSubjectChar">
    <w:name w:val="Comment Subject Char"/>
    <w:basedOn w:val="CommentTextChar"/>
    <w:link w:val="CommentSubject"/>
    <w:semiHidden/>
    <w:rsid w:val="005C216F"/>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3170">
      <w:bodyDiv w:val="1"/>
      <w:marLeft w:val="0"/>
      <w:marRight w:val="0"/>
      <w:marTop w:val="0"/>
      <w:marBottom w:val="0"/>
      <w:divBdr>
        <w:top w:val="none" w:sz="0" w:space="0" w:color="auto"/>
        <w:left w:val="none" w:sz="0" w:space="0" w:color="auto"/>
        <w:bottom w:val="none" w:sz="0" w:space="0" w:color="auto"/>
        <w:right w:val="none" w:sz="0" w:space="0" w:color="auto"/>
      </w:divBdr>
    </w:div>
    <w:div w:id="100226155">
      <w:bodyDiv w:val="1"/>
      <w:marLeft w:val="0"/>
      <w:marRight w:val="0"/>
      <w:marTop w:val="0"/>
      <w:marBottom w:val="0"/>
      <w:divBdr>
        <w:top w:val="none" w:sz="0" w:space="0" w:color="auto"/>
        <w:left w:val="none" w:sz="0" w:space="0" w:color="auto"/>
        <w:bottom w:val="none" w:sz="0" w:space="0" w:color="auto"/>
        <w:right w:val="none" w:sz="0" w:space="0" w:color="auto"/>
      </w:divBdr>
    </w:div>
    <w:div w:id="135611318">
      <w:bodyDiv w:val="1"/>
      <w:marLeft w:val="0"/>
      <w:marRight w:val="0"/>
      <w:marTop w:val="0"/>
      <w:marBottom w:val="0"/>
      <w:divBdr>
        <w:top w:val="none" w:sz="0" w:space="0" w:color="auto"/>
        <w:left w:val="none" w:sz="0" w:space="0" w:color="auto"/>
        <w:bottom w:val="none" w:sz="0" w:space="0" w:color="auto"/>
        <w:right w:val="none" w:sz="0" w:space="0" w:color="auto"/>
      </w:divBdr>
    </w:div>
    <w:div w:id="136532228">
      <w:bodyDiv w:val="1"/>
      <w:marLeft w:val="0"/>
      <w:marRight w:val="0"/>
      <w:marTop w:val="0"/>
      <w:marBottom w:val="0"/>
      <w:divBdr>
        <w:top w:val="none" w:sz="0" w:space="0" w:color="auto"/>
        <w:left w:val="none" w:sz="0" w:space="0" w:color="auto"/>
        <w:bottom w:val="none" w:sz="0" w:space="0" w:color="auto"/>
        <w:right w:val="none" w:sz="0" w:space="0" w:color="auto"/>
      </w:divBdr>
    </w:div>
    <w:div w:id="347878850">
      <w:bodyDiv w:val="1"/>
      <w:marLeft w:val="0"/>
      <w:marRight w:val="0"/>
      <w:marTop w:val="0"/>
      <w:marBottom w:val="0"/>
      <w:divBdr>
        <w:top w:val="none" w:sz="0" w:space="0" w:color="auto"/>
        <w:left w:val="none" w:sz="0" w:space="0" w:color="auto"/>
        <w:bottom w:val="none" w:sz="0" w:space="0" w:color="auto"/>
        <w:right w:val="none" w:sz="0" w:space="0" w:color="auto"/>
      </w:divBdr>
    </w:div>
    <w:div w:id="348803079">
      <w:bodyDiv w:val="1"/>
      <w:marLeft w:val="0"/>
      <w:marRight w:val="0"/>
      <w:marTop w:val="0"/>
      <w:marBottom w:val="0"/>
      <w:divBdr>
        <w:top w:val="none" w:sz="0" w:space="0" w:color="auto"/>
        <w:left w:val="none" w:sz="0" w:space="0" w:color="auto"/>
        <w:bottom w:val="none" w:sz="0" w:space="0" w:color="auto"/>
        <w:right w:val="none" w:sz="0" w:space="0" w:color="auto"/>
      </w:divBdr>
    </w:div>
    <w:div w:id="439615612">
      <w:bodyDiv w:val="1"/>
      <w:marLeft w:val="0"/>
      <w:marRight w:val="0"/>
      <w:marTop w:val="0"/>
      <w:marBottom w:val="0"/>
      <w:divBdr>
        <w:top w:val="none" w:sz="0" w:space="0" w:color="auto"/>
        <w:left w:val="none" w:sz="0" w:space="0" w:color="auto"/>
        <w:bottom w:val="none" w:sz="0" w:space="0" w:color="auto"/>
        <w:right w:val="none" w:sz="0" w:space="0" w:color="auto"/>
      </w:divBdr>
    </w:div>
    <w:div w:id="486015304">
      <w:bodyDiv w:val="1"/>
      <w:marLeft w:val="0"/>
      <w:marRight w:val="0"/>
      <w:marTop w:val="0"/>
      <w:marBottom w:val="0"/>
      <w:divBdr>
        <w:top w:val="none" w:sz="0" w:space="0" w:color="auto"/>
        <w:left w:val="none" w:sz="0" w:space="0" w:color="auto"/>
        <w:bottom w:val="none" w:sz="0" w:space="0" w:color="auto"/>
        <w:right w:val="none" w:sz="0" w:space="0" w:color="auto"/>
      </w:divBdr>
    </w:div>
    <w:div w:id="523709252">
      <w:bodyDiv w:val="1"/>
      <w:marLeft w:val="0"/>
      <w:marRight w:val="0"/>
      <w:marTop w:val="0"/>
      <w:marBottom w:val="0"/>
      <w:divBdr>
        <w:top w:val="none" w:sz="0" w:space="0" w:color="auto"/>
        <w:left w:val="none" w:sz="0" w:space="0" w:color="auto"/>
        <w:bottom w:val="none" w:sz="0" w:space="0" w:color="auto"/>
        <w:right w:val="none" w:sz="0" w:space="0" w:color="auto"/>
      </w:divBdr>
    </w:div>
    <w:div w:id="524099680">
      <w:bodyDiv w:val="1"/>
      <w:marLeft w:val="0"/>
      <w:marRight w:val="0"/>
      <w:marTop w:val="0"/>
      <w:marBottom w:val="0"/>
      <w:divBdr>
        <w:top w:val="none" w:sz="0" w:space="0" w:color="auto"/>
        <w:left w:val="none" w:sz="0" w:space="0" w:color="auto"/>
        <w:bottom w:val="none" w:sz="0" w:space="0" w:color="auto"/>
        <w:right w:val="none" w:sz="0" w:space="0" w:color="auto"/>
      </w:divBdr>
    </w:div>
    <w:div w:id="551691138">
      <w:bodyDiv w:val="1"/>
      <w:marLeft w:val="0"/>
      <w:marRight w:val="0"/>
      <w:marTop w:val="0"/>
      <w:marBottom w:val="0"/>
      <w:divBdr>
        <w:top w:val="none" w:sz="0" w:space="0" w:color="auto"/>
        <w:left w:val="none" w:sz="0" w:space="0" w:color="auto"/>
        <w:bottom w:val="none" w:sz="0" w:space="0" w:color="auto"/>
        <w:right w:val="none" w:sz="0" w:space="0" w:color="auto"/>
      </w:divBdr>
    </w:div>
    <w:div w:id="567113500">
      <w:bodyDiv w:val="1"/>
      <w:marLeft w:val="0"/>
      <w:marRight w:val="0"/>
      <w:marTop w:val="0"/>
      <w:marBottom w:val="0"/>
      <w:divBdr>
        <w:top w:val="none" w:sz="0" w:space="0" w:color="auto"/>
        <w:left w:val="none" w:sz="0" w:space="0" w:color="auto"/>
        <w:bottom w:val="none" w:sz="0" w:space="0" w:color="auto"/>
        <w:right w:val="none" w:sz="0" w:space="0" w:color="auto"/>
      </w:divBdr>
    </w:div>
    <w:div w:id="575364470">
      <w:bodyDiv w:val="1"/>
      <w:marLeft w:val="0"/>
      <w:marRight w:val="0"/>
      <w:marTop w:val="0"/>
      <w:marBottom w:val="0"/>
      <w:divBdr>
        <w:top w:val="none" w:sz="0" w:space="0" w:color="auto"/>
        <w:left w:val="none" w:sz="0" w:space="0" w:color="auto"/>
        <w:bottom w:val="none" w:sz="0" w:space="0" w:color="auto"/>
        <w:right w:val="none" w:sz="0" w:space="0" w:color="auto"/>
      </w:divBdr>
    </w:div>
    <w:div w:id="600181803">
      <w:bodyDiv w:val="1"/>
      <w:marLeft w:val="0"/>
      <w:marRight w:val="0"/>
      <w:marTop w:val="0"/>
      <w:marBottom w:val="0"/>
      <w:divBdr>
        <w:top w:val="none" w:sz="0" w:space="0" w:color="auto"/>
        <w:left w:val="none" w:sz="0" w:space="0" w:color="auto"/>
        <w:bottom w:val="none" w:sz="0" w:space="0" w:color="auto"/>
        <w:right w:val="none" w:sz="0" w:space="0" w:color="auto"/>
      </w:divBdr>
    </w:div>
    <w:div w:id="661814223">
      <w:bodyDiv w:val="1"/>
      <w:marLeft w:val="0"/>
      <w:marRight w:val="0"/>
      <w:marTop w:val="0"/>
      <w:marBottom w:val="0"/>
      <w:divBdr>
        <w:top w:val="none" w:sz="0" w:space="0" w:color="auto"/>
        <w:left w:val="none" w:sz="0" w:space="0" w:color="auto"/>
        <w:bottom w:val="none" w:sz="0" w:space="0" w:color="auto"/>
        <w:right w:val="none" w:sz="0" w:space="0" w:color="auto"/>
      </w:divBdr>
    </w:div>
    <w:div w:id="688338203">
      <w:bodyDiv w:val="1"/>
      <w:marLeft w:val="0"/>
      <w:marRight w:val="0"/>
      <w:marTop w:val="0"/>
      <w:marBottom w:val="0"/>
      <w:divBdr>
        <w:top w:val="none" w:sz="0" w:space="0" w:color="auto"/>
        <w:left w:val="none" w:sz="0" w:space="0" w:color="auto"/>
        <w:bottom w:val="none" w:sz="0" w:space="0" w:color="auto"/>
        <w:right w:val="none" w:sz="0" w:space="0" w:color="auto"/>
      </w:divBdr>
    </w:div>
    <w:div w:id="725834206">
      <w:bodyDiv w:val="1"/>
      <w:marLeft w:val="0"/>
      <w:marRight w:val="0"/>
      <w:marTop w:val="0"/>
      <w:marBottom w:val="0"/>
      <w:divBdr>
        <w:top w:val="none" w:sz="0" w:space="0" w:color="auto"/>
        <w:left w:val="none" w:sz="0" w:space="0" w:color="auto"/>
        <w:bottom w:val="none" w:sz="0" w:space="0" w:color="auto"/>
        <w:right w:val="none" w:sz="0" w:space="0" w:color="auto"/>
      </w:divBdr>
    </w:div>
    <w:div w:id="733549162">
      <w:bodyDiv w:val="1"/>
      <w:marLeft w:val="0"/>
      <w:marRight w:val="0"/>
      <w:marTop w:val="0"/>
      <w:marBottom w:val="0"/>
      <w:divBdr>
        <w:top w:val="none" w:sz="0" w:space="0" w:color="auto"/>
        <w:left w:val="none" w:sz="0" w:space="0" w:color="auto"/>
        <w:bottom w:val="none" w:sz="0" w:space="0" w:color="auto"/>
        <w:right w:val="none" w:sz="0" w:space="0" w:color="auto"/>
      </w:divBdr>
      <w:divsChild>
        <w:div w:id="1327395296">
          <w:marLeft w:val="720"/>
          <w:marRight w:val="0"/>
          <w:marTop w:val="0"/>
          <w:marBottom w:val="0"/>
          <w:divBdr>
            <w:top w:val="none" w:sz="0" w:space="0" w:color="auto"/>
            <w:left w:val="none" w:sz="0" w:space="0" w:color="auto"/>
            <w:bottom w:val="none" w:sz="0" w:space="0" w:color="auto"/>
            <w:right w:val="none" w:sz="0" w:space="0" w:color="auto"/>
          </w:divBdr>
        </w:div>
        <w:div w:id="921716603">
          <w:marLeft w:val="0"/>
          <w:marRight w:val="0"/>
          <w:marTop w:val="0"/>
          <w:marBottom w:val="0"/>
          <w:divBdr>
            <w:top w:val="none" w:sz="0" w:space="0" w:color="auto"/>
            <w:left w:val="none" w:sz="0" w:space="0" w:color="auto"/>
            <w:bottom w:val="none" w:sz="0" w:space="0" w:color="auto"/>
            <w:right w:val="none" w:sz="0" w:space="0" w:color="auto"/>
          </w:divBdr>
        </w:div>
        <w:div w:id="1679700230">
          <w:marLeft w:val="720"/>
          <w:marRight w:val="0"/>
          <w:marTop w:val="0"/>
          <w:marBottom w:val="240"/>
          <w:divBdr>
            <w:top w:val="none" w:sz="0" w:space="0" w:color="auto"/>
            <w:left w:val="none" w:sz="0" w:space="0" w:color="auto"/>
            <w:bottom w:val="none" w:sz="0" w:space="0" w:color="auto"/>
            <w:right w:val="none" w:sz="0" w:space="0" w:color="auto"/>
          </w:divBdr>
        </w:div>
        <w:div w:id="1151947147">
          <w:marLeft w:val="720"/>
          <w:marRight w:val="0"/>
          <w:marTop w:val="0"/>
          <w:marBottom w:val="240"/>
          <w:divBdr>
            <w:top w:val="none" w:sz="0" w:space="0" w:color="auto"/>
            <w:left w:val="none" w:sz="0" w:space="0" w:color="auto"/>
            <w:bottom w:val="none" w:sz="0" w:space="0" w:color="auto"/>
            <w:right w:val="none" w:sz="0" w:space="0" w:color="auto"/>
          </w:divBdr>
        </w:div>
        <w:div w:id="1589579270">
          <w:marLeft w:val="720"/>
          <w:marRight w:val="0"/>
          <w:marTop w:val="0"/>
          <w:marBottom w:val="0"/>
          <w:divBdr>
            <w:top w:val="none" w:sz="0" w:space="0" w:color="auto"/>
            <w:left w:val="none" w:sz="0" w:space="0" w:color="auto"/>
            <w:bottom w:val="none" w:sz="0" w:space="0" w:color="auto"/>
            <w:right w:val="none" w:sz="0" w:space="0" w:color="auto"/>
          </w:divBdr>
        </w:div>
        <w:div w:id="36786448">
          <w:marLeft w:val="720"/>
          <w:marRight w:val="0"/>
          <w:marTop w:val="0"/>
          <w:marBottom w:val="240"/>
          <w:divBdr>
            <w:top w:val="none" w:sz="0" w:space="0" w:color="auto"/>
            <w:left w:val="none" w:sz="0" w:space="0" w:color="auto"/>
            <w:bottom w:val="none" w:sz="0" w:space="0" w:color="auto"/>
            <w:right w:val="none" w:sz="0" w:space="0" w:color="auto"/>
          </w:divBdr>
        </w:div>
        <w:div w:id="62216114">
          <w:marLeft w:val="720"/>
          <w:marRight w:val="0"/>
          <w:marTop w:val="0"/>
          <w:marBottom w:val="240"/>
          <w:divBdr>
            <w:top w:val="none" w:sz="0" w:space="0" w:color="auto"/>
            <w:left w:val="none" w:sz="0" w:space="0" w:color="auto"/>
            <w:bottom w:val="none" w:sz="0" w:space="0" w:color="auto"/>
            <w:right w:val="none" w:sz="0" w:space="0" w:color="auto"/>
          </w:divBdr>
        </w:div>
        <w:div w:id="1525437077">
          <w:marLeft w:val="720"/>
          <w:marRight w:val="0"/>
          <w:marTop w:val="0"/>
          <w:marBottom w:val="240"/>
          <w:divBdr>
            <w:top w:val="none" w:sz="0" w:space="0" w:color="auto"/>
            <w:left w:val="none" w:sz="0" w:space="0" w:color="auto"/>
            <w:bottom w:val="none" w:sz="0" w:space="0" w:color="auto"/>
            <w:right w:val="none" w:sz="0" w:space="0" w:color="auto"/>
          </w:divBdr>
        </w:div>
        <w:div w:id="1077023247">
          <w:marLeft w:val="0"/>
          <w:marRight w:val="0"/>
          <w:marTop w:val="0"/>
          <w:marBottom w:val="240"/>
          <w:divBdr>
            <w:top w:val="none" w:sz="0" w:space="0" w:color="auto"/>
            <w:left w:val="none" w:sz="0" w:space="0" w:color="auto"/>
            <w:bottom w:val="none" w:sz="0" w:space="0" w:color="auto"/>
            <w:right w:val="none" w:sz="0" w:space="0" w:color="auto"/>
          </w:divBdr>
        </w:div>
        <w:div w:id="1633173372">
          <w:marLeft w:val="0"/>
          <w:marRight w:val="0"/>
          <w:marTop w:val="0"/>
          <w:marBottom w:val="240"/>
          <w:divBdr>
            <w:top w:val="none" w:sz="0" w:space="0" w:color="auto"/>
            <w:left w:val="none" w:sz="0" w:space="0" w:color="auto"/>
            <w:bottom w:val="none" w:sz="0" w:space="0" w:color="auto"/>
            <w:right w:val="none" w:sz="0" w:space="0" w:color="auto"/>
          </w:divBdr>
        </w:div>
        <w:div w:id="463043582">
          <w:marLeft w:val="720"/>
          <w:marRight w:val="0"/>
          <w:marTop w:val="0"/>
          <w:marBottom w:val="0"/>
          <w:divBdr>
            <w:top w:val="none" w:sz="0" w:space="0" w:color="auto"/>
            <w:left w:val="none" w:sz="0" w:space="0" w:color="auto"/>
            <w:bottom w:val="none" w:sz="0" w:space="0" w:color="auto"/>
            <w:right w:val="none" w:sz="0" w:space="0" w:color="auto"/>
          </w:divBdr>
        </w:div>
        <w:div w:id="1812165989">
          <w:marLeft w:val="0"/>
          <w:marRight w:val="0"/>
          <w:marTop w:val="0"/>
          <w:marBottom w:val="0"/>
          <w:divBdr>
            <w:top w:val="none" w:sz="0" w:space="0" w:color="auto"/>
            <w:left w:val="none" w:sz="0" w:space="0" w:color="auto"/>
            <w:bottom w:val="none" w:sz="0" w:space="0" w:color="auto"/>
            <w:right w:val="none" w:sz="0" w:space="0" w:color="auto"/>
          </w:divBdr>
        </w:div>
        <w:div w:id="1284464711">
          <w:marLeft w:val="0"/>
          <w:marRight w:val="0"/>
          <w:marTop w:val="0"/>
          <w:marBottom w:val="0"/>
          <w:divBdr>
            <w:top w:val="none" w:sz="0" w:space="0" w:color="auto"/>
            <w:left w:val="none" w:sz="0" w:space="0" w:color="auto"/>
            <w:bottom w:val="none" w:sz="0" w:space="0" w:color="auto"/>
            <w:right w:val="none" w:sz="0" w:space="0" w:color="auto"/>
          </w:divBdr>
        </w:div>
        <w:div w:id="582302114">
          <w:marLeft w:val="0"/>
          <w:marRight w:val="0"/>
          <w:marTop w:val="0"/>
          <w:marBottom w:val="0"/>
          <w:divBdr>
            <w:top w:val="none" w:sz="0" w:space="0" w:color="auto"/>
            <w:left w:val="none" w:sz="0" w:space="0" w:color="auto"/>
            <w:bottom w:val="none" w:sz="0" w:space="0" w:color="auto"/>
            <w:right w:val="none" w:sz="0" w:space="0" w:color="auto"/>
          </w:divBdr>
        </w:div>
        <w:div w:id="430248572">
          <w:marLeft w:val="720"/>
          <w:marRight w:val="0"/>
          <w:marTop w:val="0"/>
          <w:marBottom w:val="240"/>
          <w:divBdr>
            <w:top w:val="none" w:sz="0" w:space="0" w:color="auto"/>
            <w:left w:val="none" w:sz="0" w:space="0" w:color="auto"/>
            <w:bottom w:val="none" w:sz="0" w:space="0" w:color="auto"/>
            <w:right w:val="none" w:sz="0" w:space="0" w:color="auto"/>
          </w:divBdr>
        </w:div>
        <w:div w:id="985860355">
          <w:marLeft w:val="0"/>
          <w:marRight w:val="0"/>
          <w:marTop w:val="0"/>
          <w:marBottom w:val="240"/>
          <w:divBdr>
            <w:top w:val="none" w:sz="0" w:space="0" w:color="auto"/>
            <w:left w:val="none" w:sz="0" w:space="0" w:color="auto"/>
            <w:bottom w:val="none" w:sz="0" w:space="0" w:color="auto"/>
            <w:right w:val="none" w:sz="0" w:space="0" w:color="auto"/>
          </w:divBdr>
        </w:div>
        <w:div w:id="904803989">
          <w:marLeft w:val="720"/>
          <w:marRight w:val="0"/>
          <w:marTop w:val="0"/>
          <w:marBottom w:val="240"/>
          <w:divBdr>
            <w:top w:val="none" w:sz="0" w:space="0" w:color="auto"/>
            <w:left w:val="none" w:sz="0" w:space="0" w:color="auto"/>
            <w:bottom w:val="none" w:sz="0" w:space="0" w:color="auto"/>
            <w:right w:val="none" w:sz="0" w:space="0" w:color="auto"/>
          </w:divBdr>
        </w:div>
        <w:div w:id="104079498">
          <w:marLeft w:val="720"/>
          <w:marRight w:val="0"/>
          <w:marTop w:val="0"/>
          <w:marBottom w:val="0"/>
          <w:divBdr>
            <w:top w:val="none" w:sz="0" w:space="0" w:color="auto"/>
            <w:left w:val="none" w:sz="0" w:space="0" w:color="auto"/>
            <w:bottom w:val="none" w:sz="0" w:space="0" w:color="auto"/>
            <w:right w:val="none" w:sz="0" w:space="0" w:color="auto"/>
          </w:divBdr>
        </w:div>
        <w:div w:id="1635133567">
          <w:marLeft w:val="0"/>
          <w:marRight w:val="0"/>
          <w:marTop w:val="0"/>
          <w:marBottom w:val="0"/>
          <w:divBdr>
            <w:top w:val="none" w:sz="0" w:space="0" w:color="auto"/>
            <w:left w:val="none" w:sz="0" w:space="0" w:color="auto"/>
            <w:bottom w:val="none" w:sz="0" w:space="0" w:color="auto"/>
            <w:right w:val="none" w:sz="0" w:space="0" w:color="auto"/>
          </w:divBdr>
        </w:div>
        <w:div w:id="898243849">
          <w:marLeft w:val="0"/>
          <w:marRight w:val="0"/>
          <w:marTop w:val="0"/>
          <w:marBottom w:val="240"/>
          <w:divBdr>
            <w:top w:val="none" w:sz="0" w:space="0" w:color="auto"/>
            <w:left w:val="none" w:sz="0" w:space="0" w:color="auto"/>
            <w:bottom w:val="none" w:sz="0" w:space="0" w:color="auto"/>
            <w:right w:val="none" w:sz="0" w:space="0" w:color="auto"/>
          </w:divBdr>
        </w:div>
        <w:div w:id="1782070674">
          <w:marLeft w:val="720"/>
          <w:marRight w:val="0"/>
          <w:marTop w:val="0"/>
          <w:marBottom w:val="240"/>
          <w:divBdr>
            <w:top w:val="none" w:sz="0" w:space="0" w:color="auto"/>
            <w:left w:val="none" w:sz="0" w:space="0" w:color="auto"/>
            <w:bottom w:val="none" w:sz="0" w:space="0" w:color="auto"/>
            <w:right w:val="none" w:sz="0" w:space="0" w:color="auto"/>
          </w:divBdr>
        </w:div>
        <w:div w:id="878123685">
          <w:marLeft w:val="720"/>
          <w:marRight w:val="0"/>
          <w:marTop w:val="0"/>
          <w:marBottom w:val="0"/>
          <w:divBdr>
            <w:top w:val="none" w:sz="0" w:space="0" w:color="auto"/>
            <w:left w:val="none" w:sz="0" w:space="0" w:color="auto"/>
            <w:bottom w:val="none" w:sz="0" w:space="0" w:color="auto"/>
            <w:right w:val="none" w:sz="0" w:space="0" w:color="auto"/>
          </w:divBdr>
        </w:div>
        <w:div w:id="961157039">
          <w:marLeft w:val="720"/>
          <w:marRight w:val="0"/>
          <w:marTop w:val="0"/>
          <w:marBottom w:val="0"/>
          <w:divBdr>
            <w:top w:val="none" w:sz="0" w:space="0" w:color="auto"/>
            <w:left w:val="none" w:sz="0" w:space="0" w:color="auto"/>
            <w:bottom w:val="none" w:sz="0" w:space="0" w:color="auto"/>
            <w:right w:val="none" w:sz="0" w:space="0" w:color="auto"/>
          </w:divBdr>
        </w:div>
        <w:div w:id="854421798">
          <w:marLeft w:val="720"/>
          <w:marRight w:val="0"/>
          <w:marTop w:val="0"/>
          <w:marBottom w:val="0"/>
          <w:divBdr>
            <w:top w:val="none" w:sz="0" w:space="0" w:color="auto"/>
            <w:left w:val="none" w:sz="0" w:space="0" w:color="auto"/>
            <w:bottom w:val="none" w:sz="0" w:space="0" w:color="auto"/>
            <w:right w:val="none" w:sz="0" w:space="0" w:color="auto"/>
          </w:divBdr>
        </w:div>
        <w:div w:id="1489592532">
          <w:marLeft w:val="720"/>
          <w:marRight w:val="0"/>
          <w:marTop w:val="0"/>
          <w:marBottom w:val="0"/>
          <w:divBdr>
            <w:top w:val="none" w:sz="0" w:space="0" w:color="auto"/>
            <w:left w:val="none" w:sz="0" w:space="0" w:color="auto"/>
            <w:bottom w:val="none" w:sz="0" w:space="0" w:color="auto"/>
            <w:right w:val="none" w:sz="0" w:space="0" w:color="auto"/>
          </w:divBdr>
        </w:div>
        <w:div w:id="950554949">
          <w:marLeft w:val="720"/>
          <w:marRight w:val="0"/>
          <w:marTop w:val="0"/>
          <w:marBottom w:val="0"/>
          <w:divBdr>
            <w:top w:val="none" w:sz="0" w:space="0" w:color="auto"/>
            <w:left w:val="none" w:sz="0" w:space="0" w:color="auto"/>
            <w:bottom w:val="none" w:sz="0" w:space="0" w:color="auto"/>
            <w:right w:val="none" w:sz="0" w:space="0" w:color="auto"/>
          </w:divBdr>
        </w:div>
        <w:div w:id="1427119758">
          <w:marLeft w:val="720"/>
          <w:marRight w:val="0"/>
          <w:marTop w:val="0"/>
          <w:marBottom w:val="0"/>
          <w:divBdr>
            <w:top w:val="none" w:sz="0" w:space="0" w:color="auto"/>
            <w:left w:val="none" w:sz="0" w:space="0" w:color="auto"/>
            <w:bottom w:val="none" w:sz="0" w:space="0" w:color="auto"/>
            <w:right w:val="none" w:sz="0" w:space="0" w:color="auto"/>
          </w:divBdr>
        </w:div>
        <w:div w:id="877084471">
          <w:marLeft w:val="720"/>
          <w:marRight w:val="0"/>
          <w:marTop w:val="0"/>
          <w:marBottom w:val="240"/>
          <w:divBdr>
            <w:top w:val="none" w:sz="0" w:space="0" w:color="auto"/>
            <w:left w:val="none" w:sz="0" w:space="0" w:color="auto"/>
            <w:bottom w:val="none" w:sz="0" w:space="0" w:color="auto"/>
            <w:right w:val="none" w:sz="0" w:space="0" w:color="auto"/>
          </w:divBdr>
        </w:div>
        <w:div w:id="909998287">
          <w:marLeft w:val="720"/>
          <w:marRight w:val="0"/>
          <w:marTop w:val="0"/>
          <w:marBottom w:val="0"/>
          <w:divBdr>
            <w:top w:val="none" w:sz="0" w:space="0" w:color="auto"/>
            <w:left w:val="none" w:sz="0" w:space="0" w:color="auto"/>
            <w:bottom w:val="none" w:sz="0" w:space="0" w:color="auto"/>
            <w:right w:val="none" w:sz="0" w:space="0" w:color="auto"/>
          </w:divBdr>
        </w:div>
        <w:div w:id="1199320021">
          <w:marLeft w:val="720"/>
          <w:marRight w:val="0"/>
          <w:marTop w:val="0"/>
          <w:marBottom w:val="240"/>
          <w:divBdr>
            <w:top w:val="none" w:sz="0" w:space="0" w:color="auto"/>
            <w:left w:val="none" w:sz="0" w:space="0" w:color="auto"/>
            <w:bottom w:val="none" w:sz="0" w:space="0" w:color="auto"/>
            <w:right w:val="none" w:sz="0" w:space="0" w:color="auto"/>
          </w:divBdr>
        </w:div>
      </w:divsChild>
    </w:div>
    <w:div w:id="750086499">
      <w:bodyDiv w:val="1"/>
      <w:marLeft w:val="0"/>
      <w:marRight w:val="0"/>
      <w:marTop w:val="0"/>
      <w:marBottom w:val="0"/>
      <w:divBdr>
        <w:top w:val="none" w:sz="0" w:space="0" w:color="auto"/>
        <w:left w:val="none" w:sz="0" w:space="0" w:color="auto"/>
        <w:bottom w:val="none" w:sz="0" w:space="0" w:color="auto"/>
        <w:right w:val="none" w:sz="0" w:space="0" w:color="auto"/>
      </w:divBdr>
    </w:div>
    <w:div w:id="904339754">
      <w:bodyDiv w:val="1"/>
      <w:marLeft w:val="0"/>
      <w:marRight w:val="0"/>
      <w:marTop w:val="0"/>
      <w:marBottom w:val="0"/>
      <w:divBdr>
        <w:top w:val="none" w:sz="0" w:space="0" w:color="auto"/>
        <w:left w:val="none" w:sz="0" w:space="0" w:color="auto"/>
        <w:bottom w:val="none" w:sz="0" w:space="0" w:color="auto"/>
        <w:right w:val="none" w:sz="0" w:space="0" w:color="auto"/>
      </w:divBdr>
    </w:div>
    <w:div w:id="912468359">
      <w:bodyDiv w:val="1"/>
      <w:marLeft w:val="0"/>
      <w:marRight w:val="0"/>
      <w:marTop w:val="0"/>
      <w:marBottom w:val="0"/>
      <w:divBdr>
        <w:top w:val="none" w:sz="0" w:space="0" w:color="auto"/>
        <w:left w:val="none" w:sz="0" w:space="0" w:color="auto"/>
        <w:bottom w:val="none" w:sz="0" w:space="0" w:color="auto"/>
        <w:right w:val="none" w:sz="0" w:space="0" w:color="auto"/>
      </w:divBdr>
    </w:div>
    <w:div w:id="918059019">
      <w:bodyDiv w:val="1"/>
      <w:marLeft w:val="0"/>
      <w:marRight w:val="0"/>
      <w:marTop w:val="0"/>
      <w:marBottom w:val="0"/>
      <w:divBdr>
        <w:top w:val="none" w:sz="0" w:space="0" w:color="auto"/>
        <w:left w:val="none" w:sz="0" w:space="0" w:color="auto"/>
        <w:bottom w:val="none" w:sz="0" w:space="0" w:color="auto"/>
        <w:right w:val="none" w:sz="0" w:space="0" w:color="auto"/>
      </w:divBdr>
    </w:div>
    <w:div w:id="951860523">
      <w:bodyDiv w:val="1"/>
      <w:marLeft w:val="0"/>
      <w:marRight w:val="0"/>
      <w:marTop w:val="0"/>
      <w:marBottom w:val="0"/>
      <w:divBdr>
        <w:top w:val="none" w:sz="0" w:space="0" w:color="auto"/>
        <w:left w:val="none" w:sz="0" w:space="0" w:color="auto"/>
        <w:bottom w:val="none" w:sz="0" w:space="0" w:color="auto"/>
        <w:right w:val="none" w:sz="0" w:space="0" w:color="auto"/>
      </w:divBdr>
    </w:div>
    <w:div w:id="958413306">
      <w:bodyDiv w:val="1"/>
      <w:marLeft w:val="0"/>
      <w:marRight w:val="0"/>
      <w:marTop w:val="0"/>
      <w:marBottom w:val="0"/>
      <w:divBdr>
        <w:top w:val="none" w:sz="0" w:space="0" w:color="auto"/>
        <w:left w:val="none" w:sz="0" w:space="0" w:color="auto"/>
        <w:bottom w:val="none" w:sz="0" w:space="0" w:color="auto"/>
        <w:right w:val="none" w:sz="0" w:space="0" w:color="auto"/>
      </w:divBdr>
    </w:div>
    <w:div w:id="1100375894">
      <w:bodyDiv w:val="1"/>
      <w:marLeft w:val="0"/>
      <w:marRight w:val="0"/>
      <w:marTop w:val="0"/>
      <w:marBottom w:val="0"/>
      <w:divBdr>
        <w:top w:val="none" w:sz="0" w:space="0" w:color="auto"/>
        <w:left w:val="none" w:sz="0" w:space="0" w:color="auto"/>
        <w:bottom w:val="none" w:sz="0" w:space="0" w:color="auto"/>
        <w:right w:val="none" w:sz="0" w:space="0" w:color="auto"/>
      </w:divBdr>
    </w:div>
    <w:div w:id="1108504815">
      <w:bodyDiv w:val="1"/>
      <w:marLeft w:val="0"/>
      <w:marRight w:val="0"/>
      <w:marTop w:val="0"/>
      <w:marBottom w:val="0"/>
      <w:divBdr>
        <w:top w:val="none" w:sz="0" w:space="0" w:color="auto"/>
        <w:left w:val="none" w:sz="0" w:space="0" w:color="auto"/>
        <w:bottom w:val="none" w:sz="0" w:space="0" w:color="auto"/>
        <w:right w:val="none" w:sz="0" w:space="0" w:color="auto"/>
      </w:divBdr>
    </w:div>
    <w:div w:id="1139374792">
      <w:bodyDiv w:val="1"/>
      <w:marLeft w:val="0"/>
      <w:marRight w:val="0"/>
      <w:marTop w:val="0"/>
      <w:marBottom w:val="0"/>
      <w:divBdr>
        <w:top w:val="none" w:sz="0" w:space="0" w:color="auto"/>
        <w:left w:val="none" w:sz="0" w:space="0" w:color="auto"/>
        <w:bottom w:val="none" w:sz="0" w:space="0" w:color="auto"/>
        <w:right w:val="none" w:sz="0" w:space="0" w:color="auto"/>
      </w:divBdr>
    </w:div>
    <w:div w:id="1152019085">
      <w:bodyDiv w:val="1"/>
      <w:marLeft w:val="0"/>
      <w:marRight w:val="0"/>
      <w:marTop w:val="0"/>
      <w:marBottom w:val="0"/>
      <w:divBdr>
        <w:top w:val="none" w:sz="0" w:space="0" w:color="auto"/>
        <w:left w:val="none" w:sz="0" w:space="0" w:color="auto"/>
        <w:bottom w:val="none" w:sz="0" w:space="0" w:color="auto"/>
        <w:right w:val="none" w:sz="0" w:space="0" w:color="auto"/>
      </w:divBdr>
    </w:div>
    <w:div w:id="1314069352">
      <w:bodyDiv w:val="1"/>
      <w:marLeft w:val="0"/>
      <w:marRight w:val="0"/>
      <w:marTop w:val="0"/>
      <w:marBottom w:val="0"/>
      <w:divBdr>
        <w:top w:val="none" w:sz="0" w:space="0" w:color="auto"/>
        <w:left w:val="none" w:sz="0" w:space="0" w:color="auto"/>
        <w:bottom w:val="none" w:sz="0" w:space="0" w:color="auto"/>
        <w:right w:val="none" w:sz="0" w:space="0" w:color="auto"/>
      </w:divBdr>
    </w:div>
    <w:div w:id="1323704390">
      <w:bodyDiv w:val="1"/>
      <w:marLeft w:val="0"/>
      <w:marRight w:val="0"/>
      <w:marTop w:val="0"/>
      <w:marBottom w:val="0"/>
      <w:divBdr>
        <w:top w:val="none" w:sz="0" w:space="0" w:color="auto"/>
        <w:left w:val="none" w:sz="0" w:space="0" w:color="auto"/>
        <w:bottom w:val="none" w:sz="0" w:space="0" w:color="auto"/>
        <w:right w:val="none" w:sz="0" w:space="0" w:color="auto"/>
      </w:divBdr>
    </w:div>
    <w:div w:id="1366564843">
      <w:bodyDiv w:val="1"/>
      <w:marLeft w:val="0"/>
      <w:marRight w:val="0"/>
      <w:marTop w:val="0"/>
      <w:marBottom w:val="0"/>
      <w:divBdr>
        <w:top w:val="none" w:sz="0" w:space="0" w:color="auto"/>
        <w:left w:val="none" w:sz="0" w:space="0" w:color="auto"/>
        <w:bottom w:val="none" w:sz="0" w:space="0" w:color="auto"/>
        <w:right w:val="none" w:sz="0" w:space="0" w:color="auto"/>
      </w:divBdr>
    </w:div>
    <w:div w:id="1397779902">
      <w:bodyDiv w:val="1"/>
      <w:marLeft w:val="0"/>
      <w:marRight w:val="0"/>
      <w:marTop w:val="0"/>
      <w:marBottom w:val="0"/>
      <w:divBdr>
        <w:top w:val="none" w:sz="0" w:space="0" w:color="auto"/>
        <w:left w:val="none" w:sz="0" w:space="0" w:color="auto"/>
        <w:bottom w:val="none" w:sz="0" w:space="0" w:color="auto"/>
        <w:right w:val="none" w:sz="0" w:space="0" w:color="auto"/>
      </w:divBdr>
    </w:div>
    <w:div w:id="1472551826">
      <w:bodyDiv w:val="1"/>
      <w:marLeft w:val="0"/>
      <w:marRight w:val="0"/>
      <w:marTop w:val="0"/>
      <w:marBottom w:val="0"/>
      <w:divBdr>
        <w:top w:val="none" w:sz="0" w:space="0" w:color="auto"/>
        <w:left w:val="none" w:sz="0" w:space="0" w:color="auto"/>
        <w:bottom w:val="none" w:sz="0" w:space="0" w:color="auto"/>
        <w:right w:val="none" w:sz="0" w:space="0" w:color="auto"/>
      </w:divBdr>
    </w:div>
    <w:div w:id="1487092608">
      <w:bodyDiv w:val="1"/>
      <w:marLeft w:val="0"/>
      <w:marRight w:val="0"/>
      <w:marTop w:val="0"/>
      <w:marBottom w:val="0"/>
      <w:divBdr>
        <w:top w:val="none" w:sz="0" w:space="0" w:color="auto"/>
        <w:left w:val="none" w:sz="0" w:space="0" w:color="auto"/>
        <w:bottom w:val="none" w:sz="0" w:space="0" w:color="auto"/>
        <w:right w:val="none" w:sz="0" w:space="0" w:color="auto"/>
      </w:divBdr>
    </w:div>
    <w:div w:id="1493913347">
      <w:bodyDiv w:val="1"/>
      <w:marLeft w:val="0"/>
      <w:marRight w:val="0"/>
      <w:marTop w:val="0"/>
      <w:marBottom w:val="0"/>
      <w:divBdr>
        <w:top w:val="none" w:sz="0" w:space="0" w:color="auto"/>
        <w:left w:val="none" w:sz="0" w:space="0" w:color="auto"/>
        <w:bottom w:val="none" w:sz="0" w:space="0" w:color="auto"/>
        <w:right w:val="none" w:sz="0" w:space="0" w:color="auto"/>
      </w:divBdr>
    </w:div>
    <w:div w:id="1740057206">
      <w:bodyDiv w:val="1"/>
      <w:marLeft w:val="0"/>
      <w:marRight w:val="0"/>
      <w:marTop w:val="0"/>
      <w:marBottom w:val="0"/>
      <w:divBdr>
        <w:top w:val="none" w:sz="0" w:space="0" w:color="auto"/>
        <w:left w:val="none" w:sz="0" w:space="0" w:color="auto"/>
        <w:bottom w:val="none" w:sz="0" w:space="0" w:color="auto"/>
        <w:right w:val="none" w:sz="0" w:space="0" w:color="auto"/>
      </w:divBdr>
    </w:div>
    <w:div w:id="1800760961">
      <w:bodyDiv w:val="1"/>
      <w:marLeft w:val="0"/>
      <w:marRight w:val="0"/>
      <w:marTop w:val="0"/>
      <w:marBottom w:val="0"/>
      <w:divBdr>
        <w:top w:val="none" w:sz="0" w:space="0" w:color="auto"/>
        <w:left w:val="none" w:sz="0" w:space="0" w:color="auto"/>
        <w:bottom w:val="none" w:sz="0" w:space="0" w:color="auto"/>
        <w:right w:val="none" w:sz="0" w:space="0" w:color="auto"/>
      </w:divBdr>
    </w:div>
    <w:div w:id="1840657904">
      <w:bodyDiv w:val="1"/>
      <w:marLeft w:val="0"/>
      <w:marRight w:val="0"/>
      <w:marTop w:val="0"/>
      <w:marBottom w:val="0"/>
      <w:divBdr>
        <w:top w:val="none" w:sz="0" w:space="0" w:color="auto"/>
        <w:left w:val="none" w:sz="0" w:space="0" w:color="auto"/>
        <w:bottom w:val="none" w:sz="0" w:space="0" w:color="auto"/>
        <w:right w:val="none" w:sz="0" w:space="0" w:color="auto"/>
      </w:divBdr>
    </w:div>
    <w:div w:id="1969433472">
      <w:bodyDiv w:val="1"/>
      <w:marLeft w:val="0"/>
      <w:marRight w:val="0"/>
      <w:marTop w:val="0"/>
      <w:marBottom w:val="0"/>
      <w:divBdr>
        <w:top w:val="none" w:sz="0" w:space="0" w:color="auto"/>
        <w:left w:val="none" w:sz="0" w:space="0" w:color="auto"/>
        <w:bottom w:val="none" w:sz="0" w:space="0" w:color="auto"/>
        <w:right w:val="none" w:sz="0" w:space="0" w:color="auto"/>
      </w:divBdr>
    </w:div>
    <w:div w:id="1979913332">
      <w:bodyDiv w:val="1"/>
      <w:marLeft w:val="0"/>
      <w:marRight w:val="0"/>
      <w:marTop w:val="0"/>
      <w:marBottom w:val="0"/>
      <w:divBdr>
        <w:top w:val="none" w:sz="0" w:space="0" w:color="auto"/>
        <w:left w:val="none" w:sz="0" w:space="0" w:color="auto"/>
        <w:bottom w:val="none" w:sz="0" w:space="0" w:color="auto"/>
        <w:right w:val="none" w:sz="0" w:space="0" w:color="auto"/>
      </w:divBdr>
    </w:div>
    <w:div w:id="2069838153">
      <w:bodyDiv w:val="1"/>
      <w:marLeft w:val="0"/>
      <w:marRight w:val="0"/>
      <w:marTop w:val="0"/>
      <w:marBottom w:val="0"/>
      <w:divBdr>
        <w:top w:val="none" w:sz="0" w:space="0" w:color="auto"/>
        <w:left w:val="none" w:sz="0" w:space="0" w:color="auto"/>
        <w:bottom w:val="none" w:sz="0" w:space="0" w:color="auto"/>
        <w:right w:val="none" w:sz="0" w:space="0" w:color="auto"/>
      </w:divBdr>
    </w:div>
    <w:div w:id="2092005231">
      <w:bodyDiv w:val="1"/>
      <w:marLeft w:val="0"/>
      <w:marRight w:val="0"/>
      <w:marTop w:val="0"/>
      <w:marBottom w:val="0"/>
      <w:divBdr>
        <w:top w:val="none" w:sz="0" w:space="0" w:color="auto"/>
        <w:left w:val="none" w:sz="0" w:space="0" w:color="auto"/>
        <w:bottom w:val="none" w:sz="0" w:space="0" w:color="auto"/>
        <w:right w:val="none" w:sz="0" w:space="0" w:color="auto"/>
      </w:divBdr>
    </w:div>
    <w:div w:id="2120637997">
      <w:bodyDiv w:val="1"/>
      <w:marLeft w:val="0"/>
      <w:marRight w:val="0"/>
      <w:marTop w:val="0"/>
      <w:marBottom w:val="0"/>
      <w:divBdr>
        <w:top w:val="none" w:sz="0" w:space="0" w:color="auto"/>
        <w:left w:val="none" w:sz="0" w:space="0" w:color="auto"/>
        <w:bottom w:val="none" w:sz="0" w:space="0" w:color="auto"/>
        <w:right w:val="none" w:sz="0" w:space="0" w:color="auto"/>
      </w:divBdr>
    </w:div>
    <w:div w:id="213027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commission/sites/beta-political/files/political-guidelines-next-commission_en.pdf"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europarl.europa.eu/doceo/document/B-9-2019-0174_EN.html"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cor.europa.eu/en/our-work/Pages/CORLEAP.aspx" TargetMode="External"/><Relationship Id="rId23" Type="http://schemas.openxmlformats.org/officeDocument/2006/relationships/fontTable" Target="fontTable.xml"/><Relationship Id="rId36" Type="http://schemas.microsoft.com/office/2016/09/relationships/commentsIds" Target="commentsIds.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r.europa.eu/en/our-work/Pages/ARLEM.aspx" TargetMode="External"/><Relationship Id="rId22"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https://cor.europa.eu/EN/our-work/Pages/OpinionTimeline.aspx?opId=CDR-925-2018" TargetMode="External"/><Relationship Id="rId7" Type="http://schemas.openxmlformats.org/officeDocument/2006/relationships/hyperlink" Target="https://op.europa.eu/webpub/eca/lr-energy-and-climate/en/" TargetMode="External"/><Relationship Id="rId2" Type="http://schemas.openxmlformats.org/officeDocument/2006/relationships/hyperlink" Target="https://cor.europa.eu/EN/our-work/Pages/OpinionTimeline.aspx?opId=CDR-6135-2018" TargetMode="External"/><Relationship Id="rId1" Type="http://schemas.openxmlformats.org/officeDocument/2006/relationships/hyperlink" Target="https://cor.europa.eu/en/our-work/Pages/network-of-regional-hubs.aspx" TargetMode="External"/><Relationship Id="rId6" Type="http://schemas.openxmlformats.org/officeDocument/2006/relationships/hyperlink" Target="https://cor.europa.eu/EN/our-work/Pages/OpinionTimeline.aspx?opId=CDR-1672-2018" TargetMode="External"/><Relationship Id="rId5" Type="http://schemas.openxmlformats.org/officeDocument/2006/relationships/hyperlink" Target="https://cor.europa.eu/EN/our-work/Pages/OpinionTimeline.aspx?opId=CDR-973-2019" TargetMode="External"/><Relationship Id="rId4" Type="http://schemas.openxmlformats.org/officeDocument/2006/relationships/hyperlink" Target="https://cor.europa.eu/en/our-work/Pages/OpinionTimeline.aspx?opId=CDR-3652-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857bdf61-ef81-4463-9c7c-83f2607ad7f5">NVCDSECZW5MX-1730795805-4070</_dlc_DocId>
    <_dlc_DocIdUrl xmlns="857bdf61-ef81-4463-9c7c-83f2607ad7f5">
      <Url>http://dm/cor/2019/_layouts/15/DocIdRedir.aspx?ID=NVCDSECZW5MX-1730795805-4070</Url>
      <Description>NVCDSECZW5MX-1730795805-4070</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RES</TermName>
          <TermId xmlns="http://schemas.microsoft.com/office/infopath/2007/PartnerControls">9e3e62eb-6858-4bc7-8a50-3453e395fd01</TermId>
        </TermInfo>
      </Terms>
    </DocumentType_0>
    <Procedure xmlns="857bdf61-ef81-4463-9c7c-83f2607ad7f5"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CoR</TermName>
          <TermId xmlns="http://schemas.microsoft.com/office/infopath/2007/PartnerControls">cb2d75ef-4a7d-4393-b797-49ed6298a5ea</TermId>
        </TermInfo>
      </Terms>
    </DocumentSource_0>
    <ProductionDate xmlns="857bdf61-ef81-4463-9c7c-83f2607ad7f5">2019-12-05T12:00:00+00:00</ProductionDate>
    <FicheYear xmlns="857bdf61-ef81-4463-9c7c-83f2607ad7f5">2019</FicheYear>
    <DocumentNumber xmlns="e4dca85c-1383-41fb-936d-b4580cc2e903">4351</DocumentNumber>
    <DocumentVersion xmlns="857bdf61-ef81-4463-9c7c-83f2607ad7f5">0</DocumentVersion>
    <DossierNumber xmlns="857bdf61-ef81-4463-9c7c-83f2607ad7f5">38</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57bdf61-ef81-4463-9c7c-83f2607ad7f5" xsi:nil="true"/>
    <TaxCatchAll xmlns="857bdf61-ef81-4463-9c7c-83f2607ad7f5">
      <Value>71</Value>
      <Value>64</Value>
      <Value>47</Value>
      <Value>40</Value>
      <Value>38</Value>
      <Value>37</Value>
      <Value>36</Value>
      <Value>35</Value>
      <Value>33</Value>
      <Value>32</Value>
      <Value>30</Value>
      <Value>29</Value>
      <Value>28</Value>
      <Value>27</Value>
      <Value>25</Value>
      <Value>24</Value>
      <Value>23</Value>
      <Value>22</Value>
      <Value>21</Value>
      <Value>20</Value>
      <Value>18</Value>
      <Value>17</Value>
      <Value>13</Value>
      <Value>10</Value>
      <Value>9</Value>
      <Value>7</Value>
      <Value>6</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57bdf61-ef81-4463-9c7c-83f2607ad7f5" xsi:nil="true"/>
    <DocumentYear xmlns="857bdf61-ef81-4463-9c7c-83f2607ad7f5">2019</DocumentYear>
    <FicheNumber xmlns="857bdf61-ef81-4463-9c7c-83f2607ad7f5">12350</FicheNumber>
    <DocumentPart xmlns="857bdf61-ef81-4463-9c7c-83f2607ad7f5">0</DocumentPart>
    <AdoptionDate xmlns="857bdf61-ef81-4463-9c7c-83f2607ad7f5">2019-12-05T12:00:00+00:00</AdoptionDate>
    <RequestingService xmlns="857bdf61-ef81-4463-9c7c-83f2607ad7f5">Organes statutaires et réunions</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GA</TermName>
          <TermId xmlns="http://schemas.microsoft.com/office/infopath/2007/PartnerControls">762d2456-c427-4ecb-b312-af3dad8e258c</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e4dca85c-1383-41fb-936d-b4580cc2e903"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RESOL-VI</TermName>
          <TermId xmlns="http://schemas.microsoft.com/office/infopath/2007/PartnerControls">6dafb3b0-a678-4a05-93ee-d61fc8de288d</TermId>
        </TermInfo>
      </Terms>
    </DossierName_0>
    <OriginalSender xmlns="857bdf61-ef81-4463-9c7c-83f2607ad7f5">
      <UserInfo>
        <DisplayName/>
        <AccountId xsi:nil="true"/>
        <AccountType/>
      </UserInfo>
    </OriginalSender>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FE41137F8CB7514F852D1A138EC6B362" ma:contentTypeVersion="8" ma:contentTypeDescription="Defines the documents for Document Manager V2" ma:contentTypeScope="" ma:versionID="131834a2b4f93f5138f3b8658c567f11">
  <xsd:schema xmlns:xsd="http://www.w3.org/2001/XMLSchema" xmlns:xs="http://www.w3.org/2001/XMLSchema" xmlns:p="http://schemas.microsoft.com/office/2006/metadata/properties" xmlns:ns2="857bdf61-ef81-4463-9c7c-83f2607ad7f5" xmlns:ns3="http://schemas.microsoft.com/sharepoint/v3/fields" xmlns:ns4="e4dca85c-1383-41fb-936d-b4580cc2e903" targetNamespace="http://schemas.microsoft.com/office/2006/metadata/properties" ma:root="true" ma:fieldsID="fb02d665b8ead2f3b71d98d3051b5f13" ns2:_="" ns3:_="" ns4:_="">
    <xsd:import namespace="857bdf61-ef81-4463-9c7c-83f2607ad7f5"/>
    <xsd:import namespace="http://schemas.microsoft.com/sharepoint/v3/fields"/>
    <xsd:import namespace="e4dca85c-1383-41fb-936d-b4580cc2e903"/>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element ref="ns2:OriginalSen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7bdf61-ef81-4463-9c7c-83f2607ad7f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57b40324-ba81-467e-b318-8db2e7caf763}" ma:internalName="TaxCatchAll" ma:showField="CatchAllData" ma:web="857bdf61-ef81-4463-9c7c-83f2607ad7f5">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57b40324-ba81-467e-b318-8db2e7caf763}" ma:internalName="TaxCatchAllLabel" ma:readOnly="true" ma:showField="CatchAllDataLabel" ma:web="857bdf61-ef81-4463-9c7c-83f2607ad7f5">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element name="OriginalSender" ma:index="47"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5004ddca-ed1a-45fa-b2df-508b3c5dfc98"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5004ddca-ed1a-45fa-b2df-508b3c5dfc98"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5004ddca-ed1a-45fa-b2df-508b3c5dfc98"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5004ddca-ed1a-45fa-b2df-508b3c5dfc98"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5004ddca-ed1a-45fa-b2df-508b3c5dfc98"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5004ddca-ed1a-45fa-b2df-508b3c5dfc98"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5004ddca-ed1a-45fa-b2df-508b3c5dfc98"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4dca85c-1383-41fb-936d-b4580cc2e903"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77FC72-DA14-4246-8174-600D6CF716B5}"/>
</file>

<file path=customXml/itemProps2.xml><?xml version="1.0" encoding="utf-8"?>
<ds:datastoreItem xmlns:ds="http://schemas.openxmlformats.org/officeDocument/2006/customXml" ds:itemID="{C90FE84D-20EA-4CC4-A4D9-F1025A131FF3}"/>
</file>

<file path=customXml/itemProps3.xml><?xml version="1.0" encoding="utf-8"?>
<ds:datastoreItem xmlns:ds="http://schemas.openxmlformats.org/officeDocument/2006/customXml" ds:itemID="{5587A35F-9A6E-4508-828A-B51FD4F3B7D4}"/>
</file>

<file path=customXml/itemProps4.xml><?xml version="1.0" encoding="utf-8"?>
<ds:datastoreItem xmlns:ds="http://schemas.openxmlformats.org/officeDocument/2006/customXml" ds:itemID="{499B09AC-E0B3-444F-BFAC-31159DDA8E8F}"/>
</file>

<file path=docProps/app.xml><?xml version="1.0" encoding="utf-8"?>
<Properties xmlns="http://schemas.openxmlformats.org/officeDocument/2006/extended-properties" xmlns:vt="http://schemas.openxmlformats.org/officeDocument/2006/docPropsVTypes">
  <Template>Normal</Template>
  <TotalTime>0</TotalTime>
  <Pages>5</Pages>
  <Words>3729</Words>
  <Characters>21261</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Resolution on the Green Deal in partnership with local and regional authorities</vt:lpstr>
    </vt:vector>
  </TitlesOfParts>
  <Company>CESE-CdR</Company>
  <LinksUpToDate>false</LinksUpToDate>
  <CharactersWithSpaces>24941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on the Green Deal in partnership with local and regional authorities</dc:title>
  <dc:subject>Resolution</dc:subject>
  <dc:creator>ENVE</dc:creator>
  <cp:keywords>COR-2019-04351-00-00-RES-TRA-EN</cp:keywords>
  <dc:description>Rapporteur: -  Original language: - EN Date of document: - 05/12/2019 Date of meeting: -  External documents: -  Administrator responsible: - MME BOUQUEREL Caroline</dc:description>
  <cp:lastModifiedBy>TDriveSVCUserAccpt</cp:lastModifiedBy>
  <cp:revision>6</cp:revision>
  <cp:lastPrinted>2019-11-07T15:14:00Z</cp:lastPrinted>
  <dcterms:created xsi:type="dcterms:W3CDTF">2019-12-05T16:24:00Z</dcterms:created>
  <dcterms:modified xsi:type="dcterms:W3CDTF">2022-02-12T08:25:00Z</dcterms:modified>
  <cp:category>RESOL-VI/38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so preformatted by">
    <vt:lpwstr/>
  </property>
  <property fmtid="{D5CDD505-2E9C-101B-9397-08002B2CF9AE}" pid="3" name="Pref_formatted">
    <vt:bool>true</vt:bool>
  </property>
  <property fmtid="{D5CDD505-2E9C-101B-9397-08002B2CF9AE}" pid="4" name="Pref_Date">
    <vt:lpwstr>05/12/2019, 05/12/2019, 27/11/2019, 27/11/2019, 11/11/2019, 31/10/2019, 31/10/2019, 28/10/2019, 28/10/2019, 06/09/2019, 02/09/2019, 02/09/2019, 02/09/2019, 02/02/2018, 02/02/2018, 14/12/2017, 14/12/2017, 20/12/2016, 20/12/2016, 28/11/2016, 28/11/2016, 11/</vt:lpwstr>
  </property>
  <property fmtid="{D5CDD505-2E9C-101B-9397-08002B2CF9AE}" pid="5" name="Pref_Time">
    <vt:lpwstr>17:09:47, 16:50:05, 12:55:27, 12:34:56, 14:52:40, 14:20:39, 13:51:04, 16:58:35, 16:33:18, 12:14:06, 16:06:59, 12:19:56, 12:04:20, 12:07:12, 11:49:35, 10:23:43, 09:45:05, 12:27:21, 09:28:04, 10:19:49, 10:17:29, 17:58:47, 17:56:14, 17:26:50, 16:48:02, 16:37</vt:lpwstr>
  </property>
  <property fmtid="{D5CDD505-2E9C-101B-9397-08002B2CF9AE}" pid="6" name="Pref_User">
    <vt:lpwstr>hnic, htoo, amett, htoo, mkop, amett, ssex, enied, ssex, mkop, amett, jhvi, htoo, amett, ssex, hnic, YMUR, enied, ssex, amett, nmcg, mreg, hnic, mkop, jhvi, hnic, amett, ymur, amett</vt:lpwstr>
  </property>
  <property fmtid="{D5CDD505-2E9C-101B-9397-08002B2CF9AE}" pid="7" name="Pref_FileName">
    <vt:lpwstr>COR-2019-04351-00-00-RES-TRA-EN-CRR.docx, COR-2019-04351-00-00-RES-CRR-EN.docx, COR-2019-04351-00-00-PRES-TRA-EN-CRR.docx, COR-2019-04351-00-00-PRES-CRR-EN.docx, COR-2019-04351-00-02-TCD-TRA-EN-CRR.docx, COR-2019-04351-00-01-TCD-TRA-EN-CRR.docx, COR-2019-</vt:lpwstr>
  </property>
  <property fmtid="{D5CDD505-2E9C-101B-9397-08002B2CF9AE}" pid="8" name="ContentTypeId">
    <vt:lpwstr>0x010100EA97B91038054C99906057A708A1480A00FE41137F8CB7514F852D1A138EC6B362</vt:lpwstr>
  </property>
  <property fmtid="{D5CDD505-2E9C-101B-9397-08002B2CF9AE}" pid="9" name="_dlc_DocIdItemGuid">
    <vt:lpwstr>91104437-6141-4c26-84ca-41f32e16c317</vt:lpwstr>
  </property>
  <property fmtid="{D5CDD505-2E9C-101B-9397-08002B2CF9AE}" pid="10" name="AvailableTranslations">
    <vt:lpwstr>38;#ET|ff6c3f4c-b02c-4c3c-ab07-2c37995a7a0a;#21;#RO|feb747a2-64cd-4299-af12-4833ddc30497;#4;#IT|0774613c-01ed-4e5d-a25d-11d2388de825;#24;#LV|46f7e311-5d9f-4663-b433-18aeccb7ace7;#36;#PT|50ccc04a-eadd-42ae-a0cb-acaf45f812ba;#32;#LT|a7ff5ce7-6123-4f68-865a-a57c31810414;#29;#DE|f6b31e5a-26fa-4935-b661-318e46daf27e;#13;#ES|e7a6b05b-ae16-40c8-add9-68b64b03aeba;#33;#SK|46d9fce0-ef79-4f71-b89b-cd6aa82426b8;#9;#EN|f2175f21-25d7-44a3-96da-d6a61b075e1b;#22;#NL|55c6556c-b4f4-441d-9acf-c498d4f838bd;#37;#MT|7df99101-6854-4a26-b53a-b88c0da02c26;#17;#SV|c2ed69e7-a339-43d7-8f22-d93680a92aa0;#40;#HU|6b229040-c589-4408-b4c1-4285663d20a8;#20;#EL|6d4f4d51-af9b-4650-94b4-4276bee85c91;#30;#HR|2f555653-ed1a-4fe6-8362-9082d95989e5;#28;#CS|72f9705b-0217-4fd3-bea2-cbc7ed80e26e;#35;#BG|1a1b3951-7821-4e6a-85f5-5673fc08bd2c;#47;#GA|762d2456-c427-4ecb-b312-af3dad8e258c;#18;#PL|1e03da61-4678-4e07-b136-b5024ca9197b;#23;#FI|87606a43-d45f-42d6-b8c9-e1a3457db5b7;#7;#FR|d2afafd3-4c81-4f60-8f52-ee33f2f54ff3;#25;#DA|5d49c027-8956-412b-aa16-e85a0f96ad0e;#27;#SL|98a412ae-eb01-49e9-ae3d-585a81724cfc</vt:lpwstr>
  </property>
  <property fmtid="{D5CDD505-2E9C-101B-9397-08002B2CF9AE}" pid="11" name="DocumentType_0">
    <vt:lpwstr>RES|9e3e62eb-6858-4bc7-8a50-3453e395fd01</vt:lpwstr>
  </property>
  <property fmtid="{D5CDD505-2E9C-101B-9397-08002B2CF9AE}" pid="12" name="DossierName_0">
    <vt:lpwstr>RESOL-VI|6dafb3b0-a678-4a05-93ee-d61fc8de288d</vt:lpwstr>
  </property>
  <property fmtid="{D5CDD505-2E9C-101B-9397-08002B2CF9AE}" pid="13" name="DocumentSource_0">
    <vt:lpwstr>CoR|cb2d75ef-4a7d-4393-b797-49ed6298a5ea</vt:lpwstr>
  </property>
  <property fmtid="{D5CDD505-2E9C-101B-9397-08002B2CF9AE}" pid="14" name="DocumentNumber">
    <vt:i4>4351</vt:i4>
  </property>
  <property fmtid="{D5CDD505-2E9C-101B-9397-08002B2CF9AE}" pid="15" name="FicheYear">
    <vt:i4>2019</vt:i4>
  </property>
  <property fmtid="{D5CDD505-2E9C-101B-9397-08002B2CF9AE}" pid="16" name="DocumentVersion">
    <vt:i4>0</vt:i4>
  </property>
  <property fmtid="{D5CDD505-2E9C-101B-9397-08002B2CF9AE}" pid="17" name="DossierNumber">
    <vt:i4>38</vt:i4>
  </property>
  <property fmtid="{D5CDD505-2E9C-101B-9397-08002B2CF9AE}" pid="18" name="DocumentStatus">
    <vt:lpwstr>2;#TRA|150d2a88-1431-44e6-a8ca-0bb753ab8672</vt:lpwstr>
  </property>
  <property fmtid="{D5CDD505-2E9C-101B-9397-08002B2CF9AE}" pid="19" name="DocumentPart">
    <vt:i4>0</vt:i4>
  </property>
  <property fmtid="{D5CDD505-2E9C-101B-9397-08002B2CF9AE}" pid="20" name="DossierName">
    <vt:lpwstr>64;#RESOL-VI|6dafb3b0-a678-4a05-93ee-d61fc8de288d</vt:lpwstr>
  </property>
  <property fmtid="{D5CDD505-2E9C-101B-9397-08002B2CF9AE}" pid="21" name="DocumentSource">
    <vt:lpwstr>1;#CoR|cb2d75ef-4a7d-4393-b797-49ed6298a5ea</vt:lpwstr>
  </property>
  <property fmtid="{D5CDD505-2E9C-101B-9397-08002B2CF9AE}" pid="22" name="AdoptionDate">
    <vt:filetime>2019-12-05T12:00:00Z</vt:filetime>
  </property>
  <property fmtid="{D5CDD505-2E9C-101B-9397-08002B2CF9AE}" pid="23" name="DocumentType">
    <vt:lpwstr>71;#RES|9e3e62eb-6858-4bc7-8a50-3453e395fd01</vt:lpwstr>
  </property>
  <property fmtid="{D5CDD505-2E9C-101B-9397-08002B2CF9AE}" pid="24" name="RequestingService">
    <vt:lpwstr>Organes statutaires et réunions</vt:lpwstr>
  </property>
  <property fmtid="{D5CDD505-2E9C-101B-9397-08002B2CF9AE}" pid="25" name="Confidentiality">
    <vt:lpwstr>10;#Unrestricted|826e22d7-d029-4ec0-a450-0c28ff673572</vt:lpwstr>
  </property>
  <property fmtid="{D5CDD505-2E9C-101B-9397-08002B2CF9AE}" pid="26" name="MeetingName_0">
    <vt:lpwstr/>
  </property>
  <property fmtid="{D5CDD505-2E9C-101B-9397-08002B2CF9AE}" pid="27" name="Confidentiality_0">
    <vt:lpwstr>Unrestricted|826e22d7-d029-4ec0-a450-0c28ff673572</vt:lpwstr>
  </property>
  <property fmtid="{D5CDD505-2E9C-101B-9397-08002B2CF9AE}" pid="28" name="OriginalLanguage">
    <vt:lpwstr>9;#EN|f2175f21-25d7-44a3-96da-d6a61b075e1b</vt:lpwstr>
  </property>
  <property fmtid="{D5CDD505-2E9C-101B-9397-08002B2CF9AE}" pid="29" name="MeetingName">
    <vt:lpwstr/>
  </property>
  <property fmtid="{D5CDD505-2E9C-101B-9397-08002B2CF9AE}" pid="30" name="AvailableTranslations_0">
    <vt:lpwstr/>
  </property>
  <property fmtid="{D5CDD505-2E9C-101B-9397-08002B2CF9AE}" pid="31" name="DocumentStatus_0">
    <vt:lpwstr>TRA|150d2a88-1431-44e6-a8ca-0bb753ab8672</vt:lpwstr>
  </property>
  <property fmtid="{D5CDD505-2E9C-101B-9397-08002B2CF9AE}" pid="32" name="OriginalLanguage_0">
    <vt:lpwstr>EN|f2175f21-25d7-44a3-96da-d6a61b075e1b</vt:lpwstr>
  </property>
  <property fmtid="{D5CDD505-2E9C-101B-9397-08002B2CF9AE}" pid="33" name="TaxCatchAll">
    <vt:lpwstr>64;#RESOL-VI|6dafb3b0-a678-4a05-93ee-d61fc8de288d;#10;#Unrestricted|826e22d7-d029-4ec0-a450-0c28ff673572;#9;#EN|f2175f21-25d7-44a3-96da-d6a61b075e1b;#6;#Final|ea5e6674-7b27-4bac-b091-73adbb394efe;#71;#RES|9e3e62eb-6858-4bc7-8a50-3453e395fd01;#2;#TRA|150d2</vt:lpwstr>
  </property>
  <property fmtid="{D5CDD505-2E9C-101B-9397-08002B2CF9AE}" pid="34" name="VersionStatus_0">
    <vt:lpwstr>Final|ea5e6674-7b27-4bac-b091-73adbb394efe</vt:lpwstr>
  </property>
  <property fmtid="{D5CDD505-2E9C-101B-9397-08002B2CF9AE}" pid="35" name="VersionStatus">
    <vt:lpwstr>6;#Final|ea5e6674-7b27-4bac-b091-73adbb394efe</vt:lpwstr>
  </property>
  <property fmtid="{D5CDD505-2E9C-101B-9397-08002B2CF9AE}" pid="36" name="DocumentYear">
    <vt:i4>2019</vt:i4>
  </property>
  <property fmtid="{D5CDD505-2E9C-101B-9397-08002B2CF9AE}" pid="37" name="FicheNumber">
    <vt:i4>12350</vt:i4>
  </property>
  <property fmtid="{D5CDD505-2E9C-101B-9397-08002B2CF9AE}" pid="38" name="DocumentLanguage">
    <vt:lpwstr>9;#EN|f2175f21-25d7-44a3-96da-d6a61b075e1b</vt:lpwstr>
  </property>
  <property fmtid="{D5CDD505-2E9C-101B-9397-08002B2CF9AE}" pid="39" name="_docset_NoMedatataSyncRequired">
    <vt:lpwstr>False</vt:lpwstr>
  </property>
</Properties>
</file>